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և փոփոխություններ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</w:t>
      </w:r>
      <w:r>
        <w:rPr>
          <w:b w:val="1"/>
          <w:bCs w:val="1"/>
        </w:rPr>
        <w:t xml:space="preserve">ՀԱՆՐԱՊԵՏՈՒԹՅԱՆ ՀԱՐԿԱՅԻՆ ՕՐԵՆՍԳՐՔՈՒՄ </w:t>
      </w:r>
    </w:p>
    <w:p>
      <w:pPr>
        <w:jc w:val="center"/>
      </w:pPr>
      <w:r>
        <w:rPr>
          <w:b w:val="1"/>
          <w:bCs w:val="1"/>
        </w:rPr>
        <w:t xml:space="preserve">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2016 թվականի հոկտեմբերի 4-ի Հայաստանի Հանրապետության հարկային օրենսգրքի (այսուհետ՝ Օրենսգիրք) 335-րդ հոդվածի 3-րդ մասի 5-րդ կետը շարադրել հետևյալ խմբագրությամբ.</w:t>
      </w:r>
    </w:p>
    <w:p>
      <w:pPr/>
      <w:r>
        <w:rPr/>
        <w:t xml:space="preserve">«5) արժութային գործարքների իրականացման համար սահմանված կարգերի ու կանոնների պահանջների պահպանման ճշտությունը.»: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Օրենսգիրքի 380-րդ հոդվածի 1-ին մասից հետո լրացնել նոր 1.1-ին մաս հետևյալ բովանդակությամբ՝</w:t>
      </w:r>
    </w:p>
    <w:p>
      <w:pPr/>
      <w:r>
        <w:rPr/>
        <w:t xml:space="preserve">«1․1 Հսկիչ դրամարկղային մեքենա կիրառողները հսկիչ (նույնականացման) նշաններով դրոշմավորված ապրանքների վաճառքի դեպքում hսկիչ դրամարկղային մեքենայի միջոցով կամ դրան միացված ծրագրային և (կամ) տեխնիկական միջոցներով ապահովում են այդ հսկիչ (նույնականացման) նշանների վերաբերյալ տեղեկատվության փոխանցումը հարկային մարմնի միասնական շտեմարան՝ հսկիչ դրամարկղային մեքենայի կտրոնի տպագրման միջոցով, իսկ Կառավարության սահմանած դեպքերում և կարգով՝ հսկիչ (նույնականացման) նշանների վերաբերյալ հսկիչ դրամարկղային մեքենայի տեղեկատվական կտրոնի տպագրման միջոցով։»։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Օրենսգիրքի 381-րդ հոդվածում՝</w:t>
      </w:r>
    </w:p>
    <w:p>
      <w:pPr/>
      <w:r>
        <w:rPr/>
        <w:t xml:space="preserve">1)  3-րդ մասում լրացնել հետևյալ բովանդակությամբ 18-րդ և 19-րդ կետեր.</w:t>
      </w:r>
    </w:p>
    <w:p>
      <w:pPr/>
      <w:r>
        <w:rPr/>
        <w:t xml:space="preserve">«18) հսկիչ (նույնականացման) նշանով դրոշմավորված ապրանքի վաճառքի դեպքում հսկիչ (նույնականացման) նշանների քանակը,</w:t>
      </w:r>
    </w:p>
    <w:p>
      <w:pPr/>
      <w:r>
        <w:rPr/>
        <w:t xml:space="preserve">19) հսկիչ (նույնականացման) նշաններով դրոշմավորված ապրանքների վաճառքի դեպքում հսկիչ (նույնականացման) նշանների հիման վրա հարկային մարմնի հաստատած ալգորիթմով գեներացվող ստուգիչ համարը (բացառությամբ «կանխավճար» գրառում ունեցող կտրոնների)։»,</w:t>
      </w:r>
    </w:p>
    <w:p>
      <w:pPr/>
      <w:r>
        <w:rPr/>
        <w:t xml:space="preserve">2) 3-րդ մասից հետո  լրացնել նոր 3.1-ին մաս հետևյալ բովանդակությամբ՝</w:t>
      </w:r>
    </w:p>
    <w:p>
      <w:pPr/>
      <w:r>
        <w:rPr/>
        <w:t xml:space="preserve">«3․1. Հսկիչ (նույնականացման) նշանների վերաբերյալ հսկիչ դրամարկղային մեքենայի տեղեկատվական կտրոնի վրա պետք է տպագրված լինի հետևյալ տեղեկատվությունը (տվյալները).</w:t>
      </w:r>
    </w:p>
    <w:p>
      <w:pPr/>
      <w:r>
        <w:rPr/>
        <w:t xml:space="preserve">1) կտրոնի հերթական համարը (ԿՀ)՝ 8 նիշ.</w:t>
      </w:r>
    </w:p>
    <w:p>
      <w:pPr/>
      <w:r>
        <w:rPr/>
        <w:t xml:space="preserve">2) հսկիչ դրամարկղային մեքենա կիրառողի անվանումը (կազմակերպության անվանումը և կազմակերպաիրավական տեսակի հապավումը, անհատ ձեռնարկատիրոջ անունը, ազգանունը).</w:t>
      </w:r>
    </w:p>
    <w:p>
      <w:pPr/>
      <w:r>
        <w:rPr/>
        <w:t xml:space="preserve">3) հսկիչ դրամարկղային մեքենայի կիրառության վայրի հասցեն.</w:t>
      </w:r>
    </w:p>
    <w:p>
      <w:pPr/>
      <w:r>
        <w:rPr/>
        <w:t xml:space="preserve">4) հսկիչ դրամարկղային մեքենա կիրառողի հարկ վճարողի հաշվառման համարը (ՀՎՀՀ).</w:t>
      </w:r>
    </w:p>
    <w:p>
      <w:pPr/>
      <w:r>
        <w:rPr/>
        <w:t xml:space="preserve">5) հսկիչ դրամարկղային մեքենայի գրանցման համարը (ԳՀ).</w:t>
      </w:r>
    </w:p>
    <w:p>
      <w:pPr/>
      <w:r>
        <w:rPr/>
        <w:t xml:space="preserve">6) կտրոնի տպագրման վայրկյանը, րոպեն, ժամը, օրը, ամիսը, տարին, իսկ արտաքին (առևտրային) ծրագիր կիրառելու դեպքում՝ հսկիչ դրամարկղային մեքենայի կողմից գեներացվող վայրկյանը, րոպեն, ժամը, օրը, ամիսը, տարին.</w:t>
      </w:r>
    </w:p>
    <w:p>
      <w:pPr/>
      <w:r>
        <w:rPr/>
        <w:t xml:space="preserve">7) ապրանքի անվանումը և ապրանքային դիրքը,</w:t>
      </w:r>
    </w:p>
    <w:p>
      <w:pPr/>
      <w:r>
        <w:rPr/>
        <w:t xml:space="preserve">8) ապրանքի քանակը, դրա չափման միավորը.</w:t>
      </w:r>
    </w:p>
    <w:p>
      <w:pPr/>
      <w:r>
        <w:rPr/>
        <w:t xml:space="preserve">9) հսկիչ (նույնականացման) նշանների քանակը,</w:t>
      </w:r>
    </w:p>
    <w:p>
      <w:pPr/>
      <w:r>
        <w:rPr/>
        <w:t xml:space="preserve">10) հսկիչ (նույնականացման) նշանների հիման վրա հարկային մարմնի հաստատած ալգորիթմով գեներացվող ստուգիչ համարը:»։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Օրենսգիրքի 419-րդ հոդվածի՝ և ՝</w:t>
      </w:r>
    </w:p>
    <w:p>
      <w:pPr/>
      <w:r>
        <w:rPr/>
        <w:t xml:space="preserve">1) 9-րդ մասից հանել «համալիր», «կամ հսկիչ գնման ուսումնասիրության արձանագրության» և «կամ հսկիչ գնման ուսումնասիրության արձանագրության նախագծի» բառերը,</w:t>
      </w:r>
    </w:p>
    <w:p>
      <w:pPr/>
      <w:r>
        <w:rPr/>
        <w:t xml:space="preserve">2) 11-րդ մասում «հսկիչ գնման ուսումնասիրության արձանագրության» բառերը փոխարինել «հարկային ստուգման ակտի» բառերով:»։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տասներորդ օրը, բացառությամբ սույն օրենքի 2-րդ և 3-րդ հոդվածների, որոնք ուժի մեջ են մտնում պաշտոնական հրապարակման օրը ներառող ամսվան հաջորդող չորրորդ ամսվա 1-ից:</w:t>
      </w:r>
    </w:p>
    <w:p>
      <w:pPr>
        <w:numPr>
          <w:ilvl w:val="0"/>
          <w:numId w:val="2"/>
        </w:numPr>
      </w:pPr>
      <w:r>
        <w:rPr/>
        <w:t xml:space="preserve">Մինչև սույն օրենքի 4-րդ հոդվածի ուժի մեջ մտնելը Օրենսգրքի 419-րդ հոդվածի 8-րդ և 10-րդ մասերով նախատեսված խախտումները հսկիչ գնման ուսումնասիրությամբ արձանարգրված լինելու դեպքում սույն օրենքի 4-րդ հոդվածն ուժի մեջ մտնելուց հետո հարկային ստուգմամբ խախտումներ հայտաբերվելու դեպքում Օրենսգրքի 419-րդ հոդվածի 9-րդ և 11-րդ մասերով նախատեսված` խախտումը կրկնակի համարելու ժամկետի հաշվարկման համար հիմք է հանդիսանում կազմված հսկիչ գնման ուսումնասիրության արձանագրության ամսաթիվը: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03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2026-04-03T20:08:09+04:00</dcterms:created>
  <dcterms:modified xsi:type="dcterms:W3CDTF">2026-04-03T20:08:09+04:00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