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ԿԱՄ ՀԱՄԱՅՆՔԱՅԻՆ ՍԵՓԱԿԱՆՈՒԹՅՈՒՆ ՀԱՆԴԻՍԱՑՈՂ ՄԱՔՍԱՅԻՆ ՀՍԿՈՂՈՒԹՅԱՆ ԳՈՏԻՆԵՐՈՒՄ ԱՌԵՎՏՐԱՅԻՆ ԳՈՐԾՈՒՆԵՈՒԹՅՈՒՆ ԻՐԱԿԱՆԱՑՆԵԼՈՒ ԹՈՒՅԼՏՎՈՒԹՅԱՆ ՏՐԱՄԱԴՐՄԱՆ ՄՐՑՈՒՅԹԻ ԻՐԱԿԱՆԱՑՄԱՆ ԿԱՐԳԸ ՍԱՀՄԱՆԵԼՈՒ ՄԱՍԻՆ»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2024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ՊԵՏԱԿԱՆ ԿԱՄ ՀԱՄԱՅՆՔԱՅԻՆ ՍԵՓԱԿԱՆՈՒԹՅՈՒՆ ՀԱՆԴԻՍԱՑՈՂ ՄԱՔՍԱՅԻՆ ՀՍԿՈՂՈՒԹՅԱՆ ԳՈՏԻՆԵՐՈՒՄ ԱՌԵՎՏՐԱՅԻՆ ԳՈՐԾՈՒՆԵՈՒԹՅՈՒՆ ԻՐԱԿԱՆԱՑՆԵԼՈՒ ԹՈՒՅԼՏՎՈՒԹՅԱՆ ՏՐԱՄԱԴՐՄԱՆ ՄՐՑՈՒՅԹԻ ԻՐԱԿԱՆԱՑՄԱՆ ԿԱՐԳԸ ՍԱՀՄԱՆԵԼՈՒ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«Մաքսային կարգավորման մասին» օրենքի 189-րդ հոդվածի 3․2-րդ մասին և 284-րդ հոդվածի 7-րդ մասին համապատասխան՝ Հայաստանի Հանրապետության կառավարությունը որոշում է.</w:t>
      </w:r>
    </w:p>
    <w:p>
      <w:pPr/>
      <w:r>
        <w:rPr/>
        <w:t xml:space="preserve">1. Սահմանել` պետական կամ համայնքային սեփականություն հանդիսացող մաքսային հսկողության գոտիներում առևտրային գործունեություն իրականացնելու թույլտվության տրամադրման մրցույթի իրականացման կարգը՝ համաձայն N 1 հավելվածի.</w:t>
      </w:r>
    </w:p>
    <w:p>
      <w:pPr/>
      <w:r>
        <w:rPr/>
        <w:t xml:space="preserve">2. Սահմանել, որ պետական կամ համայնքային սեփականություն հանդիսացող մաքսային հսկողության գոտիներում առևտրային գործունեություն իրականացնող անձինք շարունակում են իրենց գործունեության իրականացումը՝ մինչև սույն որոշման N 1 հավելվածով նախատեսված մրցույթի արդյունքում հաղթող ճանաչվելը։</w:t>
      </w:r>
    </w:p>
    <w:p>
      <w:pPr/>
      <w:r>
        <w:rPr/>
        <w:t xml:space="preserve">3.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N 1</w:t>
      </w:r>
    </w:p>
    <w:p>
      <w:pPr>
        <w:jc w:val="end"/>
      </w:pPr>
      <w:r>
        <w:rPr/>
        <w:t xml:space="preserve">ՀՀ կառավարության «____» __________ ____</w:t>
      </w:r>
    </w:p>
    <w:p>
      <w:pPr>
        <w:jc w:val="end"/>
      </w:pPr>
      <w:r>
        <w:rPr/>
        <w:t xml:space="preserve">N____-Ն որոշման</w:t>
      </w:r>
    </w:p>
    <w:p>
      <w:pPr/>
      <w:r>
        <w:rPr/>
        <w:t xml:space="preserve">              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ԿԱՐԳ</w:t>
      </w:r>
    </w:p>
    <w:p>
      <w:pPr>
        <w:jc w:val="center"/>
      </w:pPr>
      <w:r>
        <w:rPr/>
        <w:t xml:space="preserve">ՊԵՏԱԿԱՆ ԿԱՄ ՀԱՄԱՅՆՔԱՅԻՆ ՍԵՓԱԿԱՆՈՒԹՅՈՒՆ ՀԱՆԴԻՍԱՑՈՂ ՄԱՔՍԱՅԻՆ ՀՍԿՈՂՈՒԹՅԱՆ ԳՈՏԻՆԵՐՈՒՄ ԱՌԵՎՏՐԱՅԻՆ ԳՈՐԾՈՒՆԵՈՒԹՅՈՒՆ ԻՐԱԿԱՆԱՑՆԵԼՈՒ ԹՈՒՅԼՏՎՈՒԹՅԱՆ ՏՐԱՄԱԴՐՄԱՆ ՄՐՑՈՒՅԹԻ ԻՐԱԿԱՆԱՑՄԱՆ</w:t>
      </w:r>
    </w:p>
    <w:p>
      <w:pPr/>
      <w:r>
        <w:rPr/>
        <w:t xml:space="preserve"> </w:t>
      </w:r>
    </w:p>
    <w:p>
      <w:pPr/>
      <w:r>
        <w:rPr/>
        <w:t xml:space="preserve">1. Սույն կարգով կարգավորվում են «Մաքսային կարգավորման մասին» օրենքի (այսուհետ՝ Օրենք) 189-րդ հոդվածով նախատեսված՝ պետական կամ համայնքային սեփականություն հանդիսացող մաքսային հսկողության գոտիներում (այսուհետ՝ Հսկողության գոտիներ) առևտրային գործունեության իրականացման թույլտվության տրամադրման նպատակով մրցույթի իրականացման հետ կապված հարաբերությունները։</w:t>
      </w:r>
    </w:p>
    <w:p>
      <w:pPr/>
      <w:r>
        <w:rPr/>
        <w:t xml:space="preserve">2. Սույն կարգը կիրառելի է Հսկողության գոտիներում (բացառությամբ պետական կամ համայնքային սեփականություն հանդիսացող Հսկողության այն գոտիների, որոնք կոնցեսիոն պայմանագրերի հիման վրա հանձնված են տիրապետման և (կամ) օգտագործման համար) առևտրային գործունեություն (այսուհետ՝ առևտրային գործունեություն) իրականացնող անձանց նկատմամբ (այսուհետ՝ առևտրային գործունեություն իրականացնող անձինք):</w:t>
      </w:r>
    </w:p>
    <w:p>
      <w:pPr/>
      <w:r>
        <w:rPr/>
        <w:t xml:space="preserve">Սույն կարգի կիրառության իմաստով Հսկողության գոտիներում առևտրային գործունեություն իրականցնելու պահանջը կարող է ձևավորվել ինչպես Հայաստանի Հանրապետության պետական եկամուտների կոմիտեի (այսուհետ՝ Կոմիտե) նախաձեռնությամբ, այնպես էլ՝ առևտրային գործունեություն իրականացնող անձանց առաջարկով (Կոմիտեի համաձայնությամբ)։</w:t>
      </w:r>
    </w:p>
    <w:p>
      <w:pPr/>
      <w:r>
        <w:rPr/>
        <w:t xml:space="preserve">3. Սույն կարգով նախատեսված՝ Հսկողության գոտիներում առևտրային գործունեություն իրականացնող անձանց գործունեության իրականացման թույլտվությունների տրամադրման նպատակով գործում է միջգերատեսչական մրցութային հանձնաժողով (այսուհետ՝ Հանձնաժողով), որի կազմը հաստատվում է Հայաստանի Հանրապետության վարչապետի որոշմամբ։</w:t>
      </w:r>
    </w:p>
    <w:p>
      <w:pPr/>
      <w:r>
        <w:rPr/>
        <w:t xml:space="preserve">4. Սույն կարգով նախատեսված՝ Հսկողության գոտիներում առևտրային գործունեության իրականացման թույլտվությունների տրամադրման նպատակով մրցույթ հայտարարելու մասին որոշումը կայացնում է Կոմիտեն։</w:t>
      </w:r>
    </w:p>
    <w:p>
      <w:pPr/>
      <w:r>
        <w:rPr/>
        <w:t xml:space="preserve">5. Հանձնաժողովը կազմված է Կոմիտեի հինգ, Հայաստանի Հանրապետության ֆինանսների նախարարության երկու, Հայաստանի Հանրապետության էկոնոմիկայի նախարարության երկու և Հայաստանի Հանրապետության տարածքային կառավարման և ենթակառուցվածքների նախարարության երկու ներկայացուցիչներից։</w:t>
      </w:r>
    </w:p>
    <w:p>
      <w:pPr/>
      <w:r>
        <w:rPr/>
        <w:t xml:space="preserve">6. Հանձնաժողովն ունի քարտուղար, որը Հանձնաժողովի անդամ չի հանդիսանում և ներկայացվում է Հայաստանի Հանրապետության պետական եկամուտների կոմիտեի կողմից։</w:t>
      </w:r>
    </w:p>
    <w:p>
      <w:pPr/>
      <w:r>
        <w:rPr/>
        <w:t xml:space="preserve">7. Հանձնաժողովի նախագահ է հանդիսանում Կոմիտեի նախագահը։</w:t>
      </w:r>
    </w:p>
    <w:p>
      <w:pPr/>
      <w:r>
        <w:rPr/>
        <w:t xml:space="preserve">8. Հանձնաժողովի նիստերին, Կոմիտեի նախագահի որոշմամբ, կարող են հրավիրվել Հայաստանի Հանրապետության Կենտրոնական բանկի և Հայաստանի Հանրապետության մրցակցության պաշտպանության հանձնաժողովից մեկական ներկայացուցիչներ, որոնք ունեն Հանձնաժողովի անդամների հետ հավասար ձայնի իրավունք։</w:t>
      </w:r>
    </w:p>
    <w:p>
      <w:pPr/>
      <w:r>
        <w:rPr/>
        <w:t xml:space="preserve">9. Հանձնաժողովի նիստերն իրավազոր են, եթե դրան մասնակցում են Հանձնաժողովի անդամների 2/3-ից ավելին։</w:t>
      </w:r>
    </w:p>
    <w:p>
      <w:pPr/>
      <w:r>
        <w:rPr/>
        <w:t xml:space="preserve">10. Հանձնաժողովի կողմից որոշումներն ընդունվում են ձայների պարզ մեծամասնությամբ։ Որոշումներ ընդունելու ժամանակ Հանձնաժողովի անդամների ձայների հավասարության դեպքում Հանձնաժողովի նախագահի ձայնը որոշիչ է։</w:t>
      </w:r>
    </w:p>
    <w:p>
      <w:pPr/>
      <w:r>
        <w:rPr/>
        <w:t xml:space="preserve">11. Հանձնաժողովի առաջին նիստը գումարվում է սույն որոշումն ուժի մեջ մտնելուց հետո վեց ամսվա ընթացքում։</w:t>
      </w:r>
    </w:p>
    <w:p>
      <w:pPr/>
      <w:r>
        <w:rPr/>
        <w:t xml:space="preserve">12. Հանձնաժողովի կողմից իրականացվող գործառույթներն են՝</w:t>
      </w:r>
    </w:p>
    <w:p>
      <w:pPr/>
      <w:r>
        <w:rPr/>
        <w:t xml:space="preserve">1) Հսկողության գոտիներում առևտրային գործունեության իրականացման համար թույլտվությունների տրամադրման վերաբերյալ որոշման կայացում․</w:t>
      </w:r>
    </w:p>
    <w:p>
      <w:pPr/>
      <w:r>
        <w:rPr/>
        <w:t xml:space="preserve">2) Հսկողության գոտիներում առևտրային գործունեության իրականացման համար թույլտվությունների տրամադրման մերժման վերաբերյալ որոշման կայացում․</w:t>
      </w:r>
    </w:p>
    <w:p>
      <w:pPr/>
      <w:r>
        <w:rPr/>
        <w:t xml:space="preserve">3) Հսկողության գոտիներում առևտրային գործունեություն իրականացնող անձանց տրված թույլտվությունը դադարեցնելու վերաբերյալ որոշման կայացում։</w:t>
      </w:r>
    </w:p>
    <w:p>
      <w:pPr/>
      <w:r>
        <w:rPr/>
        <w:t xml:space="preserve">13. Հսկողության գոտիներում առևտրային գործունեություն իրականացնելու նպատակով Կոմիտեի պաշտոնական կայքում հայտարարվում է մրցույթ։</w:t>
      </w:r>
    </w:p>
    <w:p>
      <w:pPr/>
      <w:r>
        <w:rPr/>
        <w:t xml:space="preserve">14. Սույն կարգի 13-րդ կետով նախատեսված՝ մրցույթի անցկացման մասին հրապարակման մեջ նշվում են Հսկողության այն գոտիները, որտեղ պետք է իրականացվի առևտրային գործունեությունը, առևտրային գործունեության տեսակը, առևտրային գործունեության իրականացման համար նախատեսվող ժամկետը, մրցույթի մասնակցության համար սահմանված չափանիշները, ինչպես նաև պահանջվող փաստաթղթերը, հայտի և փաստաթղթերի ներկայացման վերջնաժամկետները, հայտի և փաստաթղթերի ներկայացման համար սահմանված էլեկտրոնային փոստի հասցեն։</w:t>
      </w:r>
    </w:p>
    <w:p>
      <w:pPr/>
      <w:r>
        <w:rPr/>
        <w:t xml:space="preserve">15. Հսկողության գոտիներում առևտրային գործունեություն իրականացնելու նպատակով առևտրային գործունեություն իրականացնող անձինք էլեկտրոնային եղանակով Կոմիտե են ներկայացնում հայտ՝ սույն կարգի ձև N1-ին համապատասխան (այսուհետ՝ Հայտ)՝ կցելով սույն կարգի 14-րդ կետով նախատեսված փաստաթղթերը։</w:t>
      </w:r>
    </w:p>
    <w:p>
      <w:pPr/>
      <w:r>
        <w:rPr/>
        <w:t xml:space="preserve">16. Հսկողության գոտիներում առևտրային գործունեություն իրականացնելու հայտ ներկայացրած անձինք պետք է բավարարեն հետևյալ նվազագույն չափանիշներին, ինչպես նաև առավելագույն միավորներ վաստակեն սույն կարգի 24-րդ կետով նախատեսված չափանիշների գնահատման արդյունքում․</w:t>
      </w:r>
    </w:p>
    <w:p>
      <w:pPr/>
      <w:r>
        <w:rPr/>
        <w:t xml:space="preserve">1) Ձեռնարկատիրական գրանցված գործունեության իրականացում՝ սույն կարգով նախատեսված Հայտի ներկայացմանը նախորդող երկու օրացուցային տարիների ընթացքում․</w:t>
      </w:r>
    </w:p>
    <w:p>
      <w:pPr/>
      <w:r>
        <w:rPr/>
        <w:t xml:space="preserve">2) Հայտը ներկայացնելու օրվա դրությամբ հարկային ևմաքսային մարմինների կողմից վերահսկվող (հաշվառվող), Հայաստանի Հանրապետության պետական բյուջեի եկամուտների գծով հարկ վճարողի մոտ ժամկետանց պարտավորությունների (հարկի, տուրքի, վճարի, տույժի, տուգանքի, ինչպես նաև վնասի հատուցման և ծախսերի փոխհատուցման գումարների) բացակայություն․</w:t>
      </w:r>
    </w:p>
    <w:p>
      <w:pPr/>
      <w:r>
        <w:rPr/>
        <w:t xml:space="preserve">3) Հայտը ներկայացնելու օրվա դրությամբ հարկային և մաքսային օրենսդրությամբ սահմանված կարգով և ժամկետներում հարկ վճարողը պետք է ներկայացրած լինի հայտըներկայացնելու օրն ընդգրկող տարվան նախորդող տարվա հունվարի 1-ից, մինչև հայտը ներկայացնելու օրվան նախորդող ամսվա վերջին օրը ներառող ժամանակահատվածում (այսուհետ՝ դիտարկվող ժամանակահատված) ընկած ավարտված հաշվետու ժամանակաշրջանների համար նախատեսված բոլոր հաշվարկները, հայտարարագրերը, հաշվետվությունները, այլ փաստաթղթերը և տեղեկությունները, որոնց ներկայացման վերջնաժամկետը լրացել է.</w:t>
      </w:r>
    </w:p>
    <w:p>
      <w:pPr/>
      <w:r>
        <w:rPr/>
        <w:t xml:space="preserve">4) հարկային և (կամ) մաքսային մարմինների կողմից օրենսդրությամբ սահմանված կարգով հարկ վճարողի (պաշտոնատար անձի) գծով դիտարկվող ժամանակահատվածում կազմված անբողոքարկելի դարձած վարչական ակտերով արձանագրած իրավախախտումների բացակայություն։ Սույն չափանիշի իմաստով իրավախախտում է համարվում նաև համալիր հարկային ստուգումների և թեմատիկ ուսումնասիրությունների ընթացքում ստուգվող (ուսումնասիրվող) ժամանակահատվածի համար հարկ վճարողի կողմից ճշգրտված հաշվարկների (հայտարարագրերի) ներկայացումը, որոնցով առաջացել են լրացուցիչ պարտավորություններ կամ առաջացել են հաշվանցվող (պակասեցվող) գումարների պակասեցումներ.</w:t>
      </w:r>
    </w:p>
    <w:p>
      <w:pPr/>
      <w:r>
        <w:rPr/>
        <w:t xml:space="preserve">5) Հարկ վճարողի պաշտոնատար անձանց (տնօրեն, հիմնադիր, բաժնետեր, հաշվապահ, Ա/Ձ-ի դեպքում՝ անհատ ձեռնարկատեր և առկայության դեպքում՝ հաշվապահ) քրեական պատասխանատվության ենթարկված չլինելու մասին լիազոր մարմնի կողմից տրված համապատասխան փաստաթղթի առկայություն։</w:t>
      </w:r>
    </w:p>
    <w:p>
      <w:pPr/>
      <w:r>
        <w:rPr/>
        <w:t xml:space="preserve">17. Դիտարկվող ժամանակահատվածի սկզբից մինչև Հայտը ներկայացնելու օրը հարկ վճարողի վերակազմակերպված լինելու դեպքում սույն կարգի 16-րդ կետով սահմանված չափանիշներին բավարարելու պահանջների գնահատումը ներառում է նաև իրավանախորդ կազմակերպությունների գործունեության արդյունքները։</w:t>
      </w:r>
    </w:p>
    <w:p>
      <w:pPr/>
      <w:r>
        <w:rPr/>
        <w:t xml:space="preserve">18. Սույն կարգի 16-րդ կետի 4-րդ ենթակետով սահմանված չափանիշը համարվում է բավարարված, եթե համապատասխան ժամանակաշրջանի ընթացքում օրենսդրությամբ սահմանված կարգով արձանագրված իրավախախտումների արդյունքում հաշվարկված կամ հարկային և մաքսային մարմինների կողմից լրացուցիչ առաջադրված պարտավորությունների հանրագումարը (այդ թվում` ստուգման (ուսումնասիրության) ժամանակաշրջանում ստուգվող (ուսումնասիրվող) ժամանակաշրջանի համար հարկ վճարողի կողմից ներկայացված հաշվարկների (հաշվետվությունների), ինչպես նաև ճշտված հաշվարկների, որոնց արդյունքում առաջացել է հարկային պարտավորություն կամ ավելացել է հարկային պարտավորությունը և (կամ) նվազել է հաշվանցվող (պակասեցվող) գումարը) չի գերազանցում դիտարկվող ժամանակահատվածի համար հարկ վճարողի կողմից ներկայացված հաշվարկներում արտացոլված՝ ԱԱՀ-ով կամ շրջանառության հարկով հարկման բազայի 0,05 %-ը, բայց ոչ ավելի, քան 4 մլն դրամը։</w:t>
      </w:r>
    </w:p>
    <w:p>
      <w:pPr/>
      <w:r>
        <w:rPr/>
        <w:t xml:space="preserve">19. Հանձնաժողովը, սույն կարգով սահմանված չափանիշներին համապատասխանության ստուգման նպատակով, Հայտը ստանալուց հետո 20 աշխատանքային օրվա ընթացքում ուսումնասիրում է հայտով ներկայացված տեղեկություններն ու փաստաթղթերը։</w:t>
      </w:r>
    </w:p>
    <w:p>
      <w:pPr/>
      <w:r>
        <w:rPr/>
        <w:t xml:space="preserve">20. Այլ պետական մարմիններին հարցումների իրականացման անհրաժեշտության առկայության դեպքում սույն կարգի 19-րդ կետով նախատեսված ժամկետը կասեցվում է հարցումը ուղարկելու օրվանից և վերսկսվում է համապատասխան հարցման պատասխանը ստանալու օրվանից։</w:t>
      </w:r>
    </w:p>
    <w:p>
      <w:pPr/>
      <w:r>
        <w:rPr/>
        <w:t xml:space="preserve">21. Այլ պետական մարմինների կողմից սույն կարգի 20-րդ կետով նախատեսված հարցման ստացման դեպքում, հարցման պատասխանը ներկայացվում է՝ այն ստանալուց հետո առավելագույնը 10 աշխատանքային օրվա ընթացքում։</w:t>
      </w:r>
    </w:p>
    <w:p>
      <w:pPr/>
      <w:r>
        <w:rPr/>
        <w:t xml:space="preserve">22. Սույն կարգի 19-րդ կետով նախատեսված ժամկետի ավարտից հետո 5 աշխատանքային օրվա ընթացքում գումարվում է Հանձնաժողովի նիստ։</w:t>
      </w:r>
    </w:p>
    <w:p>
      <w:pPr/>
      <w:r>
        <w:rPr/>
        <w:t xml:space="preserve">23. Հանձնաժողովը, սույն կարգի 16-րդ կետով նախատեսված չափանիշների պահպանման և սույն կարգի 24-րդ կետով նախատեսված չափանիշների գնահատման արդյունքում առավել բարձր միավորներ վաստակելու դեպքում կայացնում է սույն կարգի 12-րդ կետի 1-ին ենթակետով նախատեսված որոշում՝ սույն կարգի ձև N 2-ին համապատասխան, իսկ 16-րդ կետով նախատեսված չափանիշներին չբավարարելու և (կամ) 24-րդ կետով նախատեսված չափանիշների գնահատման արդյունքում առավել բարձր միավորներ վաստակելու դեպքերում՝ սույն կարգի 12-րդ կետի 2-րդ ենթակետով նախատեսված որոշումը՝ սույն կարգի ձև N 3-ին համապատասխան։</w:t>
      </w:r>
    </w:p>
    <w:p>
      <w:pPr/>
      <w:r>
        <w:rPr/>
        <w:t xml:space="preserve">24. Հանձնաժողովի կողմից սույն կարգի 12-րդ կետի 1-ին ենթակետով նախատեսված որոշման կայացման համար հիմք են հանդիսանում նաև՝</w:t>
      </w:r>
    </w:p>
    <w:p>
      <w:pPr/>
      <w:r>
        <w:rPr/>
        <w:t xml:space="preserve">1) Հսկողության գոտու համապատասխան տարածքների վարձակալության ժամկետները, որի գնահատման նպատակով նախապատվությունը տրվում է առավել երկար ժամկետով վարձակալության պայմանագրերի կնքմանը․</w:t>
      </w:r>
    </w:p>
    <w:p>
      <w:pPr/>
      <w:r>
        <w:rPr/>
        <w:t xml:space="preserve">2) Հողի և կամ տարածքի վարձակալության համար առաջարկվող գինը, որի գնահատման նպատակով նախապատվությունը տրվում է առավել բարձր գնով վարձակալության պայմանագրերի կնքմանը․</w:t>
      </w:r>
    </w:p>
    <w:p>
      <w:pPr/>
      <w:r>
        <w:rPr/>
        <w:t xml:space="preserve">3) Մատուցվող ծառայությունների համար առաջարկվող սակագների մեծությունը, որի գնահատման նպատակով նախապատվությունը տրվում է առավել ցածր սակագներով ծառայությունների առաջարկին։</w:t>
      </w:r>
    </w:p>
    <w:p>
      <w:pPr/>
      <w:r>
        <w:rPr/>
        <w:t xml:space="preserve">25. Անմաքս առևտրի խանութներում ապրանքների իրացման գործունեության թույլտվության Հայտերի գնահատման հավասար արդյունքների ձևավորման պարագայում նախապատվությունը տրվում է նախաորակավորման արդյունքում առավել բարձր միավորներ վաստակած հայտատուին։</w:t>
      </w:r>
    </w:p>
    <w:p>
      <w:pPr/>
      <w:r>
        <w:rPr/>
        <w:t xml:space="preserve">26. Հանձնաժողովը կայացնում է Հսկողության գոտիներում առևտրային գործունեություն իրականացնող անձանց տրված թույլտվությունը դադարեցնելու վերաբերյալ որոշում (սույն կարգի ձև N 3-ին համապատասխան) հետևյալ դեպքերում՝</w:t>
      </w:r>
    </w:p>
    <w:p>
      <w:pPr/>
      <w:r>
        <w:rPr/>
        <w:t xml:space="preserve">1) Հսկողության գոտում կառուցման և վերակառուցման աշխատանքների իրականացման դեպքում․</w:t>
      </w:r>
    </w:p>
    <w:p>
      <w:pPr/>
      <w:r>
        <w:rPr/>
        <w:t xml:space="preserve">2) Հսկողության գոտում առևտրային գործունեություն իրականացնող անձանց գծով դիտարկվող ժամանակահատվածից հետո ընկած ժամանակահատվածում սույն կարգի 16-րդ կետի 4-րդ և 5-րդ ենթակետերով սահմանված չափանիշներով նախատեսված հանգամանքներ ի հայտ գալու դեպքում։</w:t>
      </w:r>
    </w:p>
    <w:p>
      <w:pPr/>
      <w:r>
        <w:rPr/>
        <w:t xml:space="preserve">27. Հանձնաժողովի կողմից սույն կարգի 26-րդ կետով կայացված որոշման վերաբերյալ, Կոմիտեն, կայացնելու օրվան հաջորդող հինգ աշխատանքային օրվա ընթացքում էլեկտրոնային եղանակով ծանուցում է Հսկողության գոտիներում առևտրային գործունեություն իրականացնող անձին և ծանուցման օրվան հաջորդող 30-րդ օրացուցային օրը համապատասխան տարածքների վարձակալության պայմանագրերը համարվում են միակողմանի լուծված։</w:t>
      </w:r>
    </w:p>
    <w:p>
      <w:pPr/>
      <w:r>
        <w:rPr/>
        <w:t xml:space="preserve">   </w:t>
      </w:r>
    </w:p>
    <w:p>
      <w:pPr>
        <w:jc w:val="end"/>
      </w:pPr>
      <w:r>
        <w:rPr/>
        <w:t xml:space="preserve">Ձև N 1</w:t>
      </w:r>
    </w:p>
    <w:p>
      <w:pPr>
        <w:jc w:val="center"/>
      </w:pPr>
      <w:r>
        <w:rPr/>
        <w:t xml:space="preserve">ՀԱՅՏ</w:t>
      </w:r>
    </w:p>
    <w:p>
      <w:pPr>
        <w:jc w:val="center"/>
      </w:pPr>
      <w:r>
        <w:rPr/>
        <w:t xml:space="preserve">ՄԱՔՍԱՅԻՆ ՀՍԿՈՂՈՒԹՅԱՆ ԳՈՏԻՆԵՐՈՒՄ ԱՌԵՎՏՐԱՅԻՆ ԳՈՐԾՈՒՆԵՈՒԹՅԱՆ ԻՐԱԿԱՆԱՑՄԱՆ ԹՈՒՅԼՏՎՈՒԹՅԱՆ ՍՏԱՑՄԱՆ</w:t>
      </w:r>
    </w:p>
    <w:tbl>
      <w:tblGrid>
        <w:gridCol w:w="9750" w:type="dxa"/>
        <w:gridCol w:w="6030" w:type="dxa"/>
        <w:gridCol w:w="348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6030" w:type="dxa"/>
            <w:noWrap/>
          </w:tcPr>
          <w:p>
            <w:pPr/>
            <w:r>
              <w:rPr/>
              <w:t xml:space="preserve">Անձի հարկ վճարողի հաշվառման համարը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6030" w:type="dxa"/>
            <w:noWrap/>
          </w:tcPr>
          <w:p>
            <w:pPr/>
            <w:r>
              <w:rPr/>
              <w:t xml:space="preserve">Անձի անվանումը (անունը, ազգանունը)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6030" w:type="dxa"/>
            <w:noWrap/>
          </w:tcPr>
          <w:p>
            <w:pPr/>
            <w:r>
              <w:rPr/>
              <w:t xml:space="preserve">Անձի գտնվելու վայրը (բնակության վայրը)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4․</w:t>
            </w:r>
          </w:p>
        </w:tc>
        <w:tc>
          <w:tcPr>
            <w:tcW w:w="6030" w:type="dxa"/>
            <w:noWrap/>
          </w:tcPr>
          <w:p>
            <w:pPr/>
            <w:r>
              <w:rPr/>
              <w:t xml:space="preserve">Անձի հեռախոսահամարը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5․</w:t>
            </w:r>
          </w:p>
        </w:tc>
        <w:tc>
          <w:tcPr>
            <w:tcW w:w="6030" w:type="dxa"/>
            <w:noWrap/>
          </w:tcPr>
          <w:p>
            <w:pPr/>
            <w:r>
              <w:rPr/>
              <w:t xml:space="preserve">Մրցութային հանձնաժողովի որոշումների ստացման էլեկտրոնային փոստի հասցեն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 </w:t>
      </w:r>
    </w:p>
    <w:p>
      <w:pPr/>
      <w:r>
        <w:rPr/>
        <w:t xml:space="preserve">Սույնով հավաստում եմ, որ Հայտի ներկայացման օրվա դրությամբ պահպանված են ՀՀ կառավարության — թվականի թիվ — որոշման 1-ին կետով սահմանված կարգի 16-րդ կետով սահմանված պահանջները և ներկայացված տվյալները ճշգրիտ են ու ամբողջական։ </w:t>
      </w:r>
    </w:p>
    <w:p>
      <w:pPr/>
      <w:r>
        <w:rPr/>
        <w:t xml:space="preserve"> </w:t>
      </w:r>
    </w:p>
    <w:p>
      <w:pPr/>
      <w:r>
        <w:rPr/>
        <w:t xml:space="preserve">Իրավաբանական անձի ղեկավար կամ նրա ներկայացուցիչ</w:t>
      </w:r>
    </w:p>
    <w:p>
      <w:pPr/>
      <w:r>
        <w:rPr/>
        <w:t xml:space="preserve">__________________________________________________________________________</w:t>
      </w:r>
    </w:p>
    <w:p>
      <w:pPr/>
      <w:r>
        <w:rPr/>
        <w:t xml:space="preserve">Անհատ ձեռնարկատեր</w:t>
      </w:r>
    </w:p>
    <w:p>
      <w:pPr/>
      <w:r>
        <w:rPr/>
        <w:t xml:space="preserve">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Կից ներկայացվող փաստաթղթեր՝</w:t>
      </w:r>
    </w:p>
    <w:p>
      <w:pPr/>
      <w:r>
        <w:rPr/>
        <w:t xml:space="preserve"> </w:t>
      </w:r>
    </w:p>
    <w:p>
      <w:pPr/>
      <w:r>
        <w:rPr/>
        <w:t xml:space="preserve">————————————————————————————————————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Ձև N 2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ՈՐՈՇՈՒՄ N ____________</w:t>
      </w:r>
    </w:p>
    <w:p>
      <w:pPr>
        <w:jc w:val="center"/>
      </w:pPr>
      <w:r>
        <w:rPr/>
        <w:t xml:space="preserve">ՄԱՔՍԱՅԻՆ ՀՍԿՈՂՈՒԹՅԱՆ ԳՈՏԻՆԵՐՈՒՄ ԱՌԵՎՏՐԱՅԻՆ ԳՈՐԾՈՒՆԵՈՒԹՅԱՆ ԻՐԱԿԱՆԱՑՄԱՆ ՀԱՄԱՐ ԹՈՒՅԼՏՎՈՒԹՅՈՒՆՆԵՐԻ ՏՐԱՄԱԴՐՄԱՆ ՎԵՐԱԲԵՐՅԱԼ</w:t>
      </w:r>
    </w:p>
    <w:p>
      <w:pPr/>
      <w:r>
        <w:rPr/>
        <w:t xml:space="preserve"> </w:t>
      </w:r>
    </w:p>
    <w:tbl>
      <w:tblGrid>
        <w:gridCol w:w="9270" w:type="dxa"/>
      </w:tblGrid>
      <w:tblPr>
        <w:tblW w:w="0" w:type="auto"/>
        <w:tblLayout w:type="autofit"/>
      </w:tblPr>
      <w:tr>
        <w:trPr/>
        <w:tc>
          <w:tcPr>
            <w:tcW w:w="9270" w:type="dxa"/>
            <w:noWrap/>
          </w:tcPr>
          <w:p>
            <w:pPr/>
            <w:r>
              <w:rPr/>
              <w:t xml:space="preserve">1. Առևտրային գործունեություն իրականացնող անձի անվանումը</w:t>
            </w:r>
          </w:p>
          <w:p>
            <w:pPr/>
            <w:r>
              <w:rPr/>
              <w:t xml:space="preserve">________________________________________________________________________</w:t>
            </w:r>
          </w:p>
        </w:tc>
      </w:tr>
      <w:tr>
        <w:trPr/>
        <w:tc>
          <w:tcPr>
            <w:tcW w:w="9270" w:type="dxa"/>
            <w:noWrap/>
          </w:tcPr>
          <w:p>
            <w:pPr/>
            <w:r>
              <w:rPr/>
              <w:t xml:space="preserve">2. Առևտրային գործունեության տեսակը</w:t>
            </w:r>
          </w:p>
          <w:p>
            <w:pPr/>
            <w:r>
              <w:rPr/>
              <w:t xml:space="preserve">________________________________________________________________________</w:t>
            </w:r>
          </w:p>
        </w:tc>
      </w:tr>
      <w:tr>
        <w:trPr/>
        <w:tc>
          <w:tcPr>
            <w:tcW w:w="9270" w:type="dxa"/>
            <w:noWrap/>
          </w:tcPr>
          <w:p>
            <w:pPr/>
            <w:r>
              <w:rPr/>
              <w:t xml:space="preserve">3. Առևտրային գործունեություն իրականացնող անձի կողմից ներկայացված հայտի ամսաթիվն ու գրանցման համարը</w:t>
            </w:r>
          </w:p>
          <w:p>
            <w:pPr/>
            <w:r>
              <w:rPr/>
              <w:t xml:space="preserve">________________________________________________________________________</w:t>
            </w:r>
          </w:p>
        </w:tc>
      </w:tr>
      <w:tr>
        <w:trPr/>
        <w:tc>
          <w:tcPr>
            <w:tcW w:w="9270" w:type="dxa"/>
            <w:noWrap/>
          </w:tcPr>
          <w:p>
            <w:pPr/>
            <w:r>
              <w:rPr/>
              <w:t xml:space="preserve">4. Մաքսային հսկողության գոտու անվանումը, որտեղ պետք է իրականացվի համապատասխան գործունեությունը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Սույնով հավաստվում է առևտրային գործունեություն իրականացնող անձի համապատասխանությունը Հայաստանի Հանրապետության կառավարության «____» __________ 2024թ․ N ___ - Ն որոշմամբ սահմանված չափանիշներին և տրամադրվում է մաքսային հսկողության գոտիներում առևտրային գործունեության իրականացման թույլտվություն․</w:t>
      </w:r>
    </w:p>
    <w:p>
      <w:pPr/>
      <w:r>
        <w:rPr/>
        <w:t xml:space="preserve">Հանձնաժողովի նախագահ </w:t>
      </w:r>
    </w:p>
    <w:p>
      <w:pPr/>
      <w:r>
        <w:rPr/>
        <w:t xml:space="preserve">         _____________________               _________________                ______________</w:t>
      </w:r>
    </w:p>
    <w:p>
      <w:pPr/>
      <w:r>
        <w:rPr/>
        <w:t xml:space="preserve">       (զբաղեցրած պաշտոնը)                   (ստորագրությունը)               (Ա. Ա. Հ.) </w:t>
      </w:r>
    </w:p>
    <w:p>
      <w:pPr/>
      <w:r>
        <w:rPr/>
        <w:t xml:space="preserve"> </w:t>
      </w:r>
    </w:p>
    <w:p>
      <w:pPr/>
      <w:r>
        <w:rPr/>
        <w:t xml:space="preserve">Հանձնաժողովի անդամ</w:t>
      </w:r>
    </w:p>
    <w:p>
      <w:pPr/>
      <w:r>
        <w:rPr/>
        <w:t xml:space="preserve">         _____________________               _________________                ______________</w:t>
      </w:r>
    </w:p>
    <w:p>
      <w:pPr/>
      <w:r>
        <w:rPr/>
        <w:t xml:space="preserve">       (զբաղեցրած պաշտոնը)                    (ստորագրությունը)               (Ա. Ա. Հ.) </w:t>
      </w:r>
    </w:p>
    <w:p>
      <w:pPr/>
      <w:r>
        <w:rPr/>
        <w:t xml:space="preserve">․․․․․․․․․․․․․․․․․․․․․․․․․․․․․․․․․․․․․․․․․․․․․․․․․․․․․․․․․․․․․․․․․․․․․․․․․․․․․․․․․․․․</w:t>
      </w:r>
    </w:p>
    <w:p>
      <w:pPr>
        <w:jc w:val="end"/>
      </w:pPr>
      <w:r>
        <w:rPr/>
        <w:t xml:space="preserve">Ձև N 3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ՈՐՈՇՈՒՄ N ____________</w:t>
      </w:r>
    </w:p>
    <w:p>
      <w:pPr>
        <w:jc w:val="center"/>
      </w:pPr>
      <w:r>
        <w:rPr/>
        <w:t xml:space="preserve">ՄԱՔՍԱՅԻՆ ՀՍԿՈՂՈՒԹՅԱՆ ԳՈՏԻՆԵՐՈՒՄ ԱՌԵՎՏՐԱՅԻՆ ԳՈՐԾՈՒՆԵՈՒԹՅՈՒՆ ԻՐԱԿԱՆԱՑՆՈՂ ԱՆՁԱՆՑ ՏՐՎԱԾ ԹՈՒՅԼՏՎՈՒԹՅՈՒՆԸ ԴԱԴԱՐԵՑՆԵԼՈՒ ՎԵՐԱԲԵՐՅԱԼ</w:t>
      </w:r>
    </w:p>
    <w:p>
      <w:pPr/>
      <w:r>
        <w:rPr/>
        <w:t xml:space="preserve"> </w:t>
      </w:r>
    </w:p>
    <w:tbl>
      <w:tblGrid>
        <w:gridCol w:w="9780" w:type="dxa"/>
      </w:tblGrid>
      <w:tblPr>
        <w:tblW w:w="0" w:type="auto"/>
        <w:tblLayout w:type="autofit"/>
      </w:tblPr>
      <w:tr>
        <w:trPr/>
        <w:tc>
          <w:tcPr>
            <w:tcW w:w="9780" w:type="dxa"/>
            <w:noWrap/>
          </w:tcPr>
          <w:p>
            <w:pPr/>
            <w:r>
              <w:rPr/>
              <w:t xml:space="preserve">1. Առևտրային գործունեություն իրականացնող անձի անվանումը</w:t>
            </w:r>
          </w:p>
          <w:p>
            <w:pPr/>
            <w:r>
              <w:rPr/>
              <w:t xml:space="preserve">________________________________________________________________________</w:t>
            </w:r>
          </w:p>
        </w:tc>
      </w:tr>
      <w:tr>
        <w:trPr/>
        <w:tc>
          <w:tcPr>
            <w:tcW w:w="9780" w:type="dxa"/>
            <w:noWrap/>
          </w:tcPr>
          <w:p>
            <w:pPr/>
            <w:r>
              <w:rPr/>
              <w:t xml:space="preserve">2. Առևտրային գործունեության տեսակը</w:t>
            </w:r>
          </w:p>
          <w:p>
            <w:pPr/>
            <w:r>
              <w:rPr/>
              <w:t xml:space="preserve">________________________________________________________________________</w:t>
            </w:r>
          </w:p>
        </w:tc>
      </w:tr>
      <w:tr>
        <w:trPr/>
        <w:tc>
          <w:tcPr>
            <w:tcW w:w="9780" w:type="dxa"/>
            <w:noWrap/>
          </w:tcPr>
          <w:p>
            <w:pPr/>
            <w:r>
              <w:rPr/>
              <w:t xml:space="preserve">3. Մաքսային հսկողության գոտու անվանումը, որտեղ անձն իրականացնում է համապատասխան գործունեությունը</w:t>
            </w:r>
          </w:p>
          <w:p>
            <w:pPr/>
            <w:r>
              <w:rPr/>
              <w:t xml:space="preserve">________________________________________________________________________</w:t>
            </w:r>
          </w:p>
        </w:tc>
      </w:tr>
      <w:tr>
        <w:trPr/>
        <w:tc>
          <w:tcPr>
            <w:tcW w:w="9780" w:type="dxa"/>
            <w:noWrap/>
          </w:tcPr>
          <w:p>
            <w:pPr/>
            <w:r>
              <w:rPr/>
              <w:t xml:space="preserve">4. Առևտրային գործունեություն իրականացնող անձին թույլտվությունից զրկելու հիմքերը ________________________________________________________________________</w:t>
            </w:r>
          </w:p>
        </w:tc>
      </w:tr>
      <w:tr>
        <w:trPr/>
        <w:tc>
          <w:tcPr>
            <w:tcW w:w="97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         </w:t>
      </w:r>
    </w:p>
    <w:p>
      <w:pPr/>
      <w:r>
        <w:rPr/>
        <w:t xml:space="preserve">Հանձնաժողովի նախագահ </w:t>
      </w:r>
    </w:p>
    <w:p>
      <w:pPr/>
      <w:r>
        <w:rPr/>
        <w:t xml:space="preserve">         _____________________               _________________                ______________</w:t>
      </w:r>
    </w:p>
    <w:p>
      <w:pPr/>
      <w:r>
        <w:rPr/>
        <w:t xml:space="preserve">         (զբաղեցրած պաշտոնը)                   (ստորագրությունը)                   (Ա. Ա. Հ.) </w:t>
      </w:r>
    </w:p>
    <w:p>
      <w:pPr/>
      <w:r>
        <w:rPr/>
        <w:t xml:space="preserve"> </w:t>
      </w:r>
    </w:p>
    <w:p>
      <w:pPr/>
      <w:r>
        <w:rPr/>
        <w:t xml:space="preserve">Հանձնաժողովի անդամ</w:t>
      </w:r>
    </w:p>
    <w:p>
      <w:pPr/>
      <w:r>
        <w:rPr/>
        <w:t xml:space="preserve">         _____________________               _________________                ______________</w:t>
      </w:r>
    </w:p>
    <w:p>
      <w:pPr/>
      <w:r>
        <w:rPr/>
        <w:t xml:space="preserve">         (զբաղեցրած պաշտոնը)                   (ստորագրությունը)                   (Ա. Ա. Հ.)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2026-04-04T09:36:44+04:00</dcterms:created>
  <dcterms:modified xsi:type="dcterms:W3CDTF">2026-04-04T09:36:44+04:00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