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«Վիճակախաղերի մասին» օրենքում փոփոխություն կատարելու մասին»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«ՎԻՃԱԿԱԽԱՂԵՐԻ ՄԱՍԻՆ» ՕՐԵՆՔՈՒՄ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«Վիճակախաղերի մասին» 2003 թվականի դեկտեմբերի 17-ի ՀՕ-3-Ն օրենքի 15-րդ հոդվածի 1-ին մասի «գ» կետը շարադրել հետևյալ խմբագրությամբ.</w:t>
      </w:r>
    </w:p>
    <w:p>
      <w:pPr/>
      <w:r>
        <w:rPr/>
        <w:t xml:space="preserve">«գ) եթե կազմակերպիչն ունի հարկային մարմնի կողմից վերահսկվող եկամուտների գծով 10 և ավելի օր ժամկետանց պարտավորություններ, բացառությամբ սույն օրենքի 5-րդ հոդվածի 1-ին մասի «թ» և «թ1» կետերով սահմանված դեպքերի»։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2026-03-31T01:59:12+04:00</dcterms:created>
  <dcterms:modified xsi:type="dcterms:W3CDTF">2026-03-31T01:59:12+04:00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