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ՆՈՐ ՀԱՃԸՆ ՀԱՄԱՅՆՔԻ 2024 ԹՎԱԿԱՆԻ ԲՅՈՒՋԵՆ ՀԱՍՏԱՏԵԼՈՒ ՄԱՍԻՆ</w:t>
      </w:r>
      <w:bookmarkEnd w:id="0"/>
    </w:p>
    <w:p>
      <w:pPr/>
      <w:r>
        <w:rPr/>
        <w:t xml:space="preserve"> Համաձայն «Տեղական ինքնակառավարման մասին» օրենքի 18-րդ հոդվածի 1-ին մասի 5-րդ կետի և «Հայաստանի Հանրապետության բյուջետային համակարգի մասին» օրենքի 32-րդ հոդվածի` </w:t>
      </w:r>
      <w:r>
        <w:rPr>
          <w:b w:val="1"/>
          <w:bCs w:val="1"/>
        </w:rPr>
        <w:t xml:space="preserve">ավագանին որոշում է.</w:t>
      </w:r>
    </w:p>
    <w:p>
      <w:pPr/>
      <w:r>
        <w:rPr/>
        <w:t xml:space="preserve">1.Հաստատել Հայաստանի Հանրապետության Կոտայքի մարզի Նոր Հաճըն համայնքի 2024 թվականի բյուջեն՝ համաձայն հավելվածի՝ ըստ հատվածների, որից՝</w:t>
      </w:r>
    </w:p>
    <w:p>
      <w:pPr/>
      <w:r>
        <w:rPr/>
        <w:t xml:space="preserve">եկամուտների գծով` 1 481 707.0 հազար դրամ</w:t>
      </w:r>
      <w:br/>
      <w:r>
        <w:rPr/>
        <w:t xml:space="preserve"> ծախսերի գծով՝ 1 481 707.0 հազար դրամ</w:t>
      </w:r>
      <w:br/>
      <w:r>
        <w:rPr/>
        <w:t xml:space="preserve"> դեֆիցիտը (պակասուրդը)՝ 0.0 հազար դրամ</w:t>
      </w:r>
    </w:p>
    <w:p>
      <w:pPr/>
      <w:r>
        <w:rPr/>
        <w:t xml:space="preserve">1) համայնքի բյուջեի եկամուտները` հատված 1.</w:t>
      </w:r>
      <w:br/>
      <w:r>
        <w:rPr/>
        <w:t xml:space="preserve"> 2)համայնքի բյուջեի ծախսերն ըստ բյուջետային ծախսերի գործառական դասակարգման` հատված 2.</w:t>
      </w:r>
      <w:br/>
      <w:r>
        <w:rPr/>
        <w:t xml:space="preserve"> 3) համայնքի բյուջեի ծախսերն ըստ բյուջետային ծախսերի տնտեսագիտական դասակարգման` հատված 3.</w:t>
      </w:r>
      <w:br/>
      <w:r>
        <w:rPr/>
        <w:t xml:space="preserve"> 4) համայնքի բյուջեի միջոցների տարեվերջի հավելուրդը կամ դեֆիցիտը (պակասուրդը)՝ հատված 4.</w:t>
      </w:r>
      <w:br/>
      <w:r>
        <w:rPr/>
        <w:t xml:space="preserve"> 5) համայնքի բյուջեի հավելուրդի օգտագործման ուղղությունների կամ դեֆիցիտի (պակասուրդի) ֆինանսավորման աղբյուրները՝ հատված 5.</w:t>
      </w:r>
      <w:br/>
      <w:r>
        <w:rPr/>
        <w:t xml:space="preserve"> 6) համայնքի բյուջեի ծախսերն ըստ բյուջետային ծախսերի գործառական և տնտեսագիտական դասակարգման` հատված 6:</w:t>
      </w:r>
    </w:p>
    <w:p>
      <w:pPr>
        <w:numPr>
          <w:ilvl w:val="0"/>
          <w:numId w:val="2"/>
        </w:numPr>
      </w:pPr>
      <w:r>
        <w:rPr/>
        <w:t xml:space="preserve">Թույլատրել համայնքի ղեկավարին՝</w:t>
      </w:r>
      <w:br/>
      <w:r>
        <w:rPr/>
        <w:t xml:space="preserve"> 1)համայնքի բյուջեի կատարման ընթացքում կատարել վերաբաշխումներ ըստ գործառական և տնտեսագիտական դասակարգման ծախսերի նախատեսված հոդվածների միջև.</w:t>
      </w:r>
      <w:br/>
      <w:r>
        <w:rPr/>
        <w:t xml:space="preserve"> 2) սահմանել, որ փոփոխությունների հանրագումարը բյուջետային տարվա ընթացքում չի կարող գերազանցել հաստատված չափաքանակների 15 %-ը:</w:t>
      </w:r>
    </w:p>
    <w:p>
      <w:pPr/>
      <w:r>
        <w:rPr/>
        <w:t xml:space="preserve">3.Սույն որոշումն ուժի մեջ է մտնում 2024 թվականի հունվարի 1-ից:</w:t>
      </w:r>
    </w:p>
    <w:p>
      <w:pPr/>
      <w:b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EB26F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2026-04-03T11:35:21+04:00</dcterms:created>
  <dcterms:modified xsi:type="dcterms:W3CDTF">2026-04-03T11:35:21+04:00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