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օրենսգրքի 128-րդ հոդվածով սահմանված ծրագրերի՝ Հայաստանի Հանրապետության կառավարության հավանության արժանացման կարգը սահմանելու մասին» ՀՀ կառավարության որոշման նախագիծ</w:t>
      </w:r>
      <w:bookmarkEnd w:id="0"/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որոշում</w:t>
      </w:r>
    </w:p>
    <w:p>
      <w:pPr>
        <w:jc w:val="center"/>
      </w:pPr>
      <w:r>
        <w:rPr/>
        <w:t xml:space="preserve">____ _______________ 201_ թիվ ____-Ն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ՀԱՐԿԱՅԻՆ ՕՐԵՆՍԳՐՔԻ 128-ՐԴ ՀՈԴՎԱԾՈՎ ՍԱՀՄԱՆՎԱԾ ԾՐԱԳՐԵՐԻ՝ ՀԱՅԱՍՏԱՆԻ ՀԱՆՐԱՊԵՏՈՒԹՅԱՆ ԿԱՌԱՎԱՐՈՒԹՅԱՆ ՀԱՎԱՆՈՒԹՅԱՆՆ ԱՐԺԱՆԱՑՄԱՆ ԿԱՐԳԸ ՍԱՀՄԱՆԵԼՈՒ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հարկային օրենսգրքի 128-րդ հոդվածի 3-րդ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Սահմանել Հայաստանի Հանրապետության հարկային օրենսգրքի 128-րդ հոդվածով սահմանված ծրագրերի՝ Հայաստանի Հանրապետության կառավարության հավանությանն արժանացման կարգը` համաձայն հավելվածի:</w:t>
      </w:r>
    </w:p>
    <w:p>
      <w:pPr/>
      <w:r>
        <w:rPr/>
        <w:t xml:space="preserve">2. Սույն որոշումն ուժի մեջ է մտնում 2018 թվականի հունվարի 1-ից:</w:t>
      </w:r>
    </w:p>
    <w:p>
      <w:pPr/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vAlign w:val="bottom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Հավելված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ՀՀ կառավարության 2017 թվականի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թիվ           </w:t>
            </w:r>
            <w:r>
              <w:rPr>
                <w:b w:val="1"/>
                <w:bCs w:val="1"/>
              </w:rPr>
              <w:t xml:space="preserve">-Ն որոշման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ՀԱՐԿԱՅԻՆ ՕՐԵՆՍԳՐՔԻ 128-ՐԴ ՀՈԴՎԱԾՈՎ ՍԱՀՄԱՆՎԱԾ ԾՐԱԳՐԵՐԻ՝ ՀԱՅԱՍՏԱՆԻ ՀԱՆՐԱՊԵՏՈՒԹՅԱՆ ԿԱՌԱՎԱՐՈՒԹՅԱՆ ՀԱՎԱՆՈՒԹՅԱՆՆ ԱՐԺԱՆԱՑՄԱՆ</w:t>
      </w:r>
    </w:p>
    <w:p>
      <w:pPr/>
      <w:r>
        <w:rPr/>
        <w:t xml:space="preserve"> </w:t>
      </w:r>
    </w:p>
    <w:p>
      <w:pPr/>
      <w:r>
        <w:rPr/>
        <w:t xml:space="preserve">1. Սույն կարգով կարգավորվում են Հայաստանի Հանրապետության հարկային օրենսգրքի (այսուհետ` օրենսգիրք) 128-րդ հոդվածով սահմանված ծրագրերի` Հայաստանի Հանրապետության կառավարության հավանությանն արժանացման հետ կապված հարաբերությունները:</w:t>
      </w:r>
    </w:p>
    <w:p>
      <w:pPr/>
      <w:r>
        <w:rPr/>
        <w:t xml:space="preserve">2. Սույն կարգի կիրառության իմաստով`</w:t>
      </w:r>
    </w:p>
    <w:p>
      <w:pPr/>
      <w:r>
        <w:rPr>
          <w:b w:val="1"/>
          <w:bCs w:val="1"/>
        </w:rPr>
        <w:t xml:space="preserve">1) Հայաստանի Հանրապետության ռեզիդենտ շահութահարկ վճարողների խումբ`</w:t>
      </w:r>
      <w:r>
        <w:rPr/>
        <w:t xml:space="preserve"> Հայաստանի Հանրապետության երկու և ավելի թվով ռեզիդենտ շահութահարկ վճարողներ կամ ռեզիդենտ շահութահարկ վճարող, որոնք հայտ են ներկայացրել արտահանման ծրագրի իրականացման համար, ունեն ընդհանուր բաժնետեր, որն ունի առնվազն 20 տոկոսի բաժնետոմսերի բաժնեմաս և ընդգրկվել է հաստատված արտահանման ծրագրում.</w:t>
      </w:r>
    </w:p>
    <w:p>
      <w:pPr/>
      <w:r>
        <w:rPr>
          <w:b w:val="1"/>
          <w:bCs w:val="1"/>
        </w:rPr>
        <w:t xml:space="preserve">2) հայտատու`</w:t>
      </w:r>
      <w:r>
        <w:rPr/>
        <w:t xml:space="preserve"> օրենսգրքի 128-րդ հոդվածով սահմանված ծրագրերի հայտերը Հայաստանի Հանրապետության կառավարություն ներկայացնող անձ:</w:t>
      </w:r>
    </w:p>
    <w:p>
      <w:pPr/>
      <w:r>
        <w:rPr/>
        <w:t xml:space="preserve">3. Օրենսգրքի 128-րդ հոդվածով սահմանված ծրագրերի՝ Հայաստանի Հանրապետության կառավարության հավանությանն արժանացման համար հայտատուն Հայաստանի Հանրապետության կառավարություն է ներկայացնում`</w:t>
      </w:r>
    </w:p>
    <w:p>
      <w:pPr/>
      <w:r>
        <w:rPr/>
        <w:t xml:space="preserve">1) հայտ.</w:t>
      </w:r>
    </w:p>
    <w:p>
      <w:pPr/>
      <w:r>
        <w:rPr/>
        <w:t xml:space="preserve">2) ծրագիր, որը ներառում է արտահանման ծավալները, այդ թվում` Հայաստանի Հանրապետության տարածքից «Արտահանում» մաքսային ընթացակարգով արտահանվող և (կամ) Եվրասիական տնտեսական միության անդամ պետություններ տեղափոխվող ապրանքների ծավալները, ծրագրում ներգրավված՝ Հայաստանի Հանրապետության ռեզիդենտ հարկ վճարողների խմբի մեջ մտնող հարկ վճարողների ցանկը, պետական գրանցման վկայականները (համարները), տեղեկություններ հարկ վճարողների ՀՎՀՀ-ների մասին, ինչպես նաև ծրագրի շրջանակներում նրանց կողմից իրականացվող գործունեության մանրամասն նկարագրությունը, իսկ շինարարության և շինմոնտաժային ոլորտում գործունեություն իրականացնելու դեպքում՝ նաև տեղեկություն աշխատանքների կատարման, աշխատատեղերի թվի և միջին աշխատավարձերի վերաբերյալ.</w:t>
      </w:r>
    </w:p>
    <w:p>
      <w:pPr/>
      <w:r>
        <w:rPr/>
        <w:t xml:space="preserve">3) Հայաստանի Հանրապետության ռեզիդենտ շահութահարկ վճարողների խմբի կողմից հայտը ներկայացվելու դեպքում խմբի անդամ հանդիսացող հայտատուն ներկայացնում է խմբի մյուս անդամների կողմից իրեն տրված լիազորագիրը:</w:t>
      </w:r>
    </w:p>
    <w:p>
      <w:pPr/>
      <w:r>
        <w:rPr/>
        <w:t xml:space="preserve">4. Հայաստանի Հանրապետության կառավարության կողմից օրենսգրքի 128-րդ հոդվածի 2-րդ մասով սահմանված դեպքերում ներկայացվող ծրագրի հաստատումից հետո ծրագրի գործողության ամբողջ ժամկետում, եթե պահպանվում են օրենսգրքի 128-րդ հոդվածի 1-ին մասով նախատեսված սահմանափակումները, ապա ծրագիր իրականացնող և այդ ծրագրում ընդգրկված ռեզիդենտ շահութահարկ վճարողների խմբի մեջ մտնող ռեզիդենտ շահութահարկ վճարողը շահութահարկը հաշվարկում և վճարում է օրենսգրքի 128-րդ հոդվածի 2-րդ մասով սահմանված դրույքաչափերով:</w:t>
      </w:r>
    </w:p>
    <w:p>
      <w:pPr/>
      <w:r>
        <w:rPr/>
        <w:t xml:space="preserve">5. Եթե Հայաստանի Հանրապետության ռեզիդենտ շահութահարկ վճարողների խմբի կողմից իրականացվում են ինչպես օրենսգրքի 128-րդ հոդվածի 2-րդ մասի 1-ին և 2-րդ կետերով, այնպես էլ՝ նույն մասի 3-րդ կետով նախատեսված ծրագրերի շրջանակներում իրականացման ենթակա գործունեության տեսակներ, ապա Հայաստանի Հանրապետության ռեզիդենտ շահութահարկ վճարողների խմբի կողմից Հայաստանի Հանրապետության կառավարության քննարկմանը ներկայացված ու հավանության արժանացած` օրենսգրքի 128-րդ հոդվածի 2-րդ մասի 1-ին և 2-րդ կետերով նախատեսված ծրագրի առկայության պարագայում համարվում է, որ Հայաստանի Հանրապետության ռեզիդենտ շահութահարկ վճարողների խմբի կողմից իրականացվում է նաև նույն մասի 3-րդ կետով նախատեսված ծրագիրը:</w:t>
      </w:r>
    </w:p>
    <w:p>
      <w:pPr/>
      <w:r>
        <w:rPr/>
        <w:t xml:space="preserve">6. Ռեզիդենտ շահութահարկ վճարողների խմբի մեջ մտնող ռեզիդենտ շահութահարկ վճարողների` Հայաստանի Հանրապետության ռեզիդենտ բանկերում բացված բանկային հաշիվներին ծրագրին վերաբերող գործունեությունից մուտքագրված գումարների հաշվարկման համար հիմք է ընդունվում ռեզիդենտ շահութահարկ վճարողի բանկային հաշվին արտարժույթի մուտքագրման օրվա համար Հայաստանի Հանրապետության կենտրոնական բանկի կողմից սահմանված տվյալ արտարժույթի փոխարժեքը:</w:t>
      </w:r>
    </w:p>
    <w:p>
      <w:pPr/>
      <w:r>
        <w:rPr/>
        <w:t xml:space="preserve">7. Արտոնության կիրառության նպատակով հաշվի են առնվում միայն ծրագրի գործողության ընթացքում Հայաստանի Հանրապետության տարածքից «արտահանում» մաքսային ընթացակարգով փաստացի կատարված արտահանումների և (կամ) Եվրասիական տնտեսական միության անդամ պետություններ տեղափոխումների գծով բանկային հաշիվներին մուտքագրված գումարները:</w:t>
      </w:r>
    </w:p>
    <w:p>
      <w:pPr/>
      <w:r>
        <w:rPr/>
        <w:t xml:space="preserve">8. Մինչև Հայաստանի Հանրապետության կառավարության կողմից ծրագիրը հավանության արժանացնելը` ռեզիդենտ շահութահարկ վճարողների կողմից իրականացված արտահանումները կամ Եվրասիական տնտեսական միության տարածք տեղափոխումները, վերջիններիս բանկային հաշիվներին մուտքագրվող գումարները, ինչպես նաև օրենսգրքի 128-րդ հոդվածի 1-ին մասով սահմանված սահմանափակումները պահպանած չլինելու հանգամանքն արտոնության կիրառության նպատակով հաշվի չեն առնվում:</w:t>
      </w:r>
    </w:p>
    <w:p>
      <w:pPr/>
      <w:r>
        <w:rPr/>
        <w:t xml:space="preserve">9. Հայտատուի կողմից հայտը ներկայացվում է Հայաստանի Հանրապետության տնտեսական զարգացման և ներդրումների նախարարություն:</w:t>
      </w:r>
    </w:p>
    <w:p>
      <w:pPr/>
      <w:r>
        <w:rPr/>
        <w:t xml:space="preserve">10. Հայաստանի Հանրապետության տնտեսական զարգացման և ներդրումների նախարարությունը հայտը մուտքագրվելու օրվանից ոչ ուշ, քան երեք աշխատանքային օրվա ընթացքում ուսումնասիրում է ներկայացված ծրագրի համապատասխանությունը սույն կարգի 3-րդ կետով նախատեսված պահանջներին: Նշված պահանջներին համապատասխանության դեպքում Հայաստանի Հանրապետության տնտեսական զարգացման և ներդրումների նախարարությունը, Հայաստանի Հանրապետության օրենսդրությամբ սահմանված կարգով, մշակում է ծրագիրը Հայաստանի Հանրապետության կառավարության հավանությանն արժանանալու մասին Հայաստանի Հանրապետության կառավարության որոշման նախագիծը (այսուհետ` նախագիծ) և ծրագրի հետ միասին ներկայացնում է Հայաստանի Հանրապետության ֆինանսների նախարարության, Հայաստանի Հանրապետության կառավարությանն առընթեր պետական եկամուտների կոմիտեի և համապատասխան ոլորտային նախարարության (նախարարությունների) քննարկմանը, որոնք նախագծի վերաբերյալ իրենց դիրքորոշումը երեք աշխատանքային օրվա ընթացքում ներկայացնում են Հայաստանի Հանրապետության տնտեսական զարգացման և ներդրումների նախարարություն:</w:t>
      </w:r>
    </w:p>
    <w:p>
      <w:pPr/>
      <w:r>
        <w:rPr/>
        <w:t xml:space="preserve">11. Նախագծի վերաբերյալ կարծիքներն ստանալուց հետո Հայաստանի Հանրապետության տնտեսական զարգացման և ներդրումների նախարարությունը երկու աշխատանքային օրվա ընթացքում ամփոփում է նախագիծը և սահմանված կարգով ներկայացնում Հայաստանի Հանրապետության կառավարության աշխատակազմ:</w:t>
      </w:r>
    </w:p>
    <w:p>
      <w:pPr/>
      <w:r>
        <w:rPr/>
        <w:t xml:space="preserve">12. Սույն կարգի 9-11-րդ կետերի դրույթները տարածվում են նաև ծրագրում փոփոխություն կատարելու համար ներկայացված հայտի վրա:</w:t>
      </w:r>
    </w:p>
    <w:p>
      <w:pPr/>
      <w:r>
        <w:rPr/>
        <w:t xml:space="preserve">13. Եթե հայտատուի կողմից ներկայացված փաստաթղթերի ցանկն ամբողջական չէ, ապա երեք աշխատանքային օրվա ընթացքում հայտատուից պահանջվում է լրացնել չներկայացված փաստաթղթերը:</w:t>
      </w:r>
    </w:p>
    <w:p>
      <w:pPr/>
      <w:r>
        <w:rPr/>
        <w:t xml:space="preserve">14. Հայտը տասն աշխատանքային օրվա ընթացքում վերադարձվում է հայտատուին, եթե հայտը և կից ներկայացվող փաստաթղթերը թերի են, և հայտատուն չի վերացնում հայտում կամ կից փաստաթղթերում առկա թերությունները կամ չի ներկայացնում համալրված փաստաթղթերը, կամ ներկայացված ծրագիրը չի համապատասխանում սույն կարգի 3-րդ կետով սահմանված պահանջներին: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2026-03-31T14:34:49+04:00</dcterms:created>
  <dcterms:modified xsi:type="dcterms:W3CDTF">2026-03-31T14:34:49+04:00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