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«Միասնական հաշվից գումարների վերադարձը հարկային մարմին ներկայացված այլ հաշվին փոխանցելու դեպքերը և կարգը սահմանելու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_____________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3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ՄԻԱՍՆԱԿԱՆ ՀԱՇՎԻՑ ԳՈՒՄԱՐՆԵՐԻ ՎԵՐԱԴԱՐՁԸ ՀԱՐԿԱՅԻՆ ՄԱՐՄԻՆ ՆԵՐԿԱՅԱՑՎԱԾ ԱՅԼ ՀԱՇՎԻՆ ՓՈԽԱՆՑԵԼՈՒ ԴԵՊՔԵՐԸ ԵՎ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327-րդ հոդվածի 2-րդ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միասնական հաշվից գումարների վերադարձը հարկային մարմին ներկայացված այլ հաշվին փոխանցելու դեպքերը և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 Հավելված </w:t>
      </w:r>
    </w:p>
    <w:p>
      <w:pPr>
        <w:jc w:val="end"/>
      </w:pPr>
      <w:r>
        <w:rPr>
          <w:b w:val="1"/>
          <w:bCs w:val="1"/>
        </w:rPr>
        <w:t xml:space="preserve">ՀՀ կառավարության 2023 թվականի</w:t>
      </w:r>
    </w:p>
    <w:p>
      <w:pPr>
        <w:jc w:val="end"/>
      </w:pPr>
      <w:r>
        <w:rPr>
          <w:b w:val="1"/>
          <w:bCs w:val="1"/>
        </w:rPr>
        <w:t xml:space="preserve">_______________  _____</w:t>
      </w:r>
      <w:r>
        <w:rPr>
          <w:b w:val="1"/>
          <w:bCs w:val="1"/>
        </w:rPr>
        <w:t xml:space="preserve">-ի N</w:t>
      </w:r>
      <w:r>
        <w:rPr>
          <w:b w:val="1"/>
          <w:bCs w:val="1"/>
        </w:rPr>
        <w:t xml:space="preserve">______</w:t>
      </w:r>
      <w:r>
        <w:rPr>
          <w:b w:val="1"/>
          <w:bCs w:val="1"/>
        </w:rPr>
        <w:t xml:space="preserve">-Ն որոշման</w:t>
      </w:r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ՄԻԱՍՆԱԿԱՆ ՀԱՇՎԻՑ ԳՈՒՄԱՐՆԵՐԻ ՎԵՐԱԴԱՐՁԸ ՀԱՐԿԱՅԻՆ ՄԱՐՄԻՆ ՆԵՐԿԱՅԱՑՎԱԾ ԱՅԼ ՀԱՇՎԻՆ ՓՈԽԱՆՑԵԼՈՒ ԴԵՊՔԵՐԸ ԵՎ ԿԱՐԳԸ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1. Սույն կարգով կարգավորվում են միասնական հաշվից գումարների վերադարձը հարկային մարմին ներկայացված այլ հաշվին փոխանցելու դեպքերը և կարգը սահմանելու հետ կապված հարաբերությունները։</w:t>
      </w:r>
    </w:p>
    <w:p>
      <w:pPr/>
      <w:r>
        <w:rPr/>
        <w:t xml:space="preserve">2. Սույն կարգի 3-րդ կետում չնշված դեպքերում՝ հարկ վճարողներին միասնական հաշվից գումարների վերադարձն իրականացվում է միայն իրենց անվամբ բացված բանկային հաշիվներին։</w:t>
      </w:r>
    </w:p>
    <w:p>
      <w:pPr/>
      <w:r>
        <w:rPr/>
        <w:t xml:space="preserve">3. Միասնական հաշվից գումարների վերադարձը հարկ վճարողի կողմից հարկային մարմին ներկայացված՝ իր բանկային հաշվից տարբերվող այլ հաշվին իրականացվում է հետևյալ դեպքերում՝</w:t>
      </w:r>
    </w:p>
    <w:p>
      <w:pPr/>
      <w:r>
        <w:rPr/>
        <w:t xml:space="preserve">1)  բանկային հաշիվներ չունեցող կազմակերպություններին գումարների վերադարձն իրականացվում է․</w:t>
      </w:r>
    </w:p>
    <w:p>
      <w:pPr/>
      <w:r>
        <w:rPr/>
        <w:t xml:space="preserve">ա․ կազմակերպությունների վերակազմակերպաման դեպքում՝ իրավահաջորդ կազմակերպության բանկային հաշվին,</w:t>
      </w:r>
    </w:p>
    <w:p>
      <w:pPr/>
      <w:r>
        <w:rPr/>
        <w:t xml:space="preserve">բ․ լուծարված կազմակերպությունների դեպքում՝ կազմակերպության մասնակցի բանկային հաշվին՝ մյուս մասնակիցների համաձայնությամբ (եթե առկա են մեկից ավելի մասնակիցներ),</w:t>
      </w:r>
    </w:p>
    <w:p>
      <w:pPr/>
      <w:r>
        <w:rPr/>
        <w:t xml:space="preserve">2)  անհատ ձեռնարկատիրոջ կամ նոտարի մահվան դեպքում՝ ժառանգի անձնագրային տվյալներով բացված բանկային հաշվին,</w:t>
      </w:r>
    </w:p>
    <w:p>
      <w:pPr/>
      <w:r>
        <w:rPr/>
        <w:t xml:space="preserve">3)  բանկային հաշիվներ չունեցող հաշվառումից հանված անհատ ձեռնարկատերերին և պաշտոնից ազատված նոտարներին գումարների վերադարձն իրականացվում է վերջիններիս՝ որպես ֆիզիկական անձ, անձնագրային տվյալներով բացված բանկային հաշիվներին,</w:t>
      </w:r>
    </w:p>
    <w:p>
      <w:pPr/>
      <w:r>
        <w:rPr/>
        <w:t xml:space="preserve">4)  պետական ոչ առևտրային կազմակերպություններին գումարների վերադարձը կարող է իրականացվել նաև նրանց գանձնապետական հաշիվներին։</w:t>
      </w:r>
    </w:p>
    <w:p>
      <w:pPr/>
      <w:r>
        <w:rPr/>
        <w:t xml:space="preserve">4. Միասնական հաշվում առկա գումարները վերադարձվում են սույն կարգին համապատասխան այդ գումարները ստանալու իրավասություն ունեցող անձանց՝ նրանց կողմից հարկային մարմին ներկայացված՝ հարկային մարմնի սահմանած ձևով և կարգով լրացված դիմումի հիման վրա։</w:t>
      </w:r>
    </w:p>
    <w:p>
      <w:pPr/>
      <w:r>
        <w:rPr/>
        <w:t xml:space="preserve">5. Սույն կարգին համապատասխան՝ ֆիզիկական անձի նույնականացումը և վերջինիս բանկային հաշվի իսկությունը ստուգվում է հարկային մարմնի և Հայաստանի Հանրապեության կենտրոնական բանկի համատեղ սահմանված կարգով։</w:t>
      </w:r>
    </w:p>
    <w:p>
      <w:pPr/>
      <w:r>
        <w:rPr/>
        <w:t xml:space="preserve">6.Սույն կարգի 3-րդ կետի 1-ին և 2-րդ ենթակետերում նշված դեպքերում սույն կարգի 4-րդ կետում նշված դիմումը հարկային մարմին է ներկայացվում թղթային տարբերակով, և դիմումին կից ներկայացվում են նաև իրավահաջորդությունը, մասնակից հանդիսանալու փաստը, ժառանգությունը և անձի նույնականացումը հավաստող համապատասխան փաստաթղթերը։</w:t>
      </w:r>
    </w:p>
    <w:p>
      <w:pPr/>
      <w:r>
        <w:rPr/>
        <w:t xml:space="preserve">7. Սույն կարգի 3-րդ կետի 3-րդ և 4-րդ ենթակետերում նշված դեպքերում սույն կարգի 4-րդ կետում նշված դիմումը հարկային մարմին է ներկայացվում էլեկտրոնային տարբերակով։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874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2026-04-05T17:43:11+04:00</dcterms:created>
  <dcterms:modified xsi:type="dcterms:W3CDTF">2026-04-05T17:43:11+04:00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