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ԳԱՌՆԻ ՀԱՄԱՅՆՔԻ 2023 ԹՎԱԿԱՆԻ ԲՅՈՒՋԵՆ ՀԱՍՏԱՏԵԼՈՒ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ՀԱՆՐԱՊԵՏՈՒԹԱՅՆ ԿՈՏԱՅՔԻ ՄԱՐԶԻ ԳԱՌՆԻ ՀԱՄԱՅՆՔԻ ԱՎԱԳԱՆՈՒ</w:t>
      </w:r>
    </w:p>
    <w:p>
      <w:pPr>
        <w:jc w:val="center"/>
      </w:pPr>
      <w:r>
        <w:rPr>
          <w:b w:val="1"/>
          <w:bCs w:val="1"/>
        </w:rPr>
        <w:t xml:space="preserve">_____ ___________ ՈՐՈՇՈՒՄ ԹԻՎ _____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ԿՈՏԱՅՔԻ ՄԱՐԶԻ ԳԱՌՆԻ ՀԱՄԱՅՆՔԻ 2023 ԹՎԱԿԱՆԻ ԲՅՈՒՋԵՆ ՀԱՍՏԱՏԵԼՈՒ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      Ղեկավարվելով «Տեղական ինքնակառավարման մասին» օրենքի 18-րդ հոդվածի առաջին մասի 5-րդ կետով, «Հայաստանի Հանրապետության բյուջետային համակարգի մասին» օրենքի 32-րդ հոդվածի 5-րդ մասով` </w:t>
      </w:r>
      <w:r>
        <w:rPr>
          <w:b w:val="1"/>
          <w:bCs w:val="1"/>
        </w:rPr>
        <w:t xml:space="preserve">համայնքի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Հայաստանի  Հանրապետության  Կոտայքի  մարզի Գառնի համայնքի 2023 թվականի բյուջեն` համաձայն հավելվածի:</w:t>
      </w:r>
    </w:p>
    <w:p>
      <w:pPr>
        <w:numPr>
          <w:ilvl w:val="0"/>
          <w:numId w:val="2"/>
        </w:numPr>
      </w:pPr>
      <w:r>
        <w:rPr/>
        <w:t xml:space="preserve">Թույլատրել համայնքի ղեկավարին բյուջեի կատարման ընթացքում կատարել վերաբաշխումներ, որոնց հանրագումարը չպետք է գերազանցի սույն որոշմամբ հաստատված չափաքանակենրի 15%-ը: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 հաջորդող օրվանից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       </w:t>
      </w:r>
      <w:r>
        <w:rPr>
          <w:b w:val="1"/>
          <w:bCs w:val="1"/>
        </w:rPr>
        <w:t xml:space="preserve">        ՀԱՄԱՅՆՔԻ ՂԵԿԱՎԱՐ՝                            ՏԻԳՐԱՆ ՊՈՂՈՍՆ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530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2026-04-01T13:33:58+04:00</dcterms:created>
  <dcterms:modified xsi:type="dcterms:W3CDTF">2026-04-01T13:33:58+04:00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