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2023-2028 ԹՎԱԿԱՆՆԵՐԻ ՏԻԵԶԵՐԱԿԱՆ ՀԱՄԱՊԱՐՓԱԿ ՌԱԶՄԱՎԱՐՈՒԹՅԱՆ ԵՎ ՄԻՋՈՑԱՌՈՒՄՆԵՐԻ ԾՐԱԳԻՐՆ ԸՆԴՈՒՆԵԼՈՒ ՄԱՍԻՆ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     »  «                 »  2022 թվականի N ...... -Լ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2023-2028 ԹՎԱԿԱՆՆԵՐԻ ՏԻԵԶԵՐԱԿԱՆ ՀԱՄԱՊԱՐՓԱԿ ՌԱԶՄԱՎԱՐՈՒԹՅԱՆ ԵՎ ՄԻՋՈՑԱՌՈՒՄՆԵՐԻ ԾՐԱԳՐԻՆ ՀԱՎԱՆՈՒԹՅՈՒՆ ՏԱԼՈՒ ՄԱՍԻՆ</w:t>
      </w:r>
    </w:p>
    <w:p>
      <w:pPr/>
      <w:r>
        <w:rPr/>
        <w:t xml:space="preserve">Ղեկավարվելով </w:t>
      </w:r>
      <w:r>
        <w:rPr>
          <w:b w:val="1"/>
          <w:bCs w:val="1"/>
        </w:rPr>
        <w:t xml:space="preserve">«</w:t>
      </w:r>
      <w:r>
        <w:rPr/>
        <w:t xml:space="preserve">Հայաստանի Հանրապետության կառավարության կառուցվածքի և գործունեության մասին</w:t>
      </w:r>
      <w:r>
        <w:rPr>
          <w:b w:val="1"/>
          <w:bCs w:val="1"/>
        </w:rPr>
        <w:t xml:space="preserve">»</w:t>
      </w:r>
      <w:r>
        <w:rPr/>
        <w:t xml:space="preserve"> օրենքի 11-րդ հոդվածի 8-րդ մասով՝ Հայաստանի Հանրապետության կառավարությունը 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Հավանություն տալ՝</w:t>
      </w:r>
    </w:p>
    <w:p>
      <w:pPr>
        <w:numPr>
          <w:ilvl w:val="0"/>
          <w:numId w:val="3"/>
        </w:numPr>
      </w:pPr>
      <w:r>
        <w:rPr/>
        <w:t xml:space="preserve">Հայաստանի Հանրապետության 2023-2028 թվականների համապարփակ ռազմավարությանը` համաձայն հավելված N 1-ի,</w:t>
      </w:r>
    </w:p>
    <w:p>
      <w:pPr>
        <w:numPr>
          <w:ilvl w:val="0"/>
          <w:numId w:val="3"/>
        </w:numPr>
      </w:pPr>
      <w:r>
        <w:rPr/>
        <w:t xml:space="preserve">Հայաստանի Հանրապետության 2023-2028 թվականների համապարփակ ռազմավարության միջոցառումների ծրագրին՝ համաձայն հավելված N 2-ի: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074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325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2026-03-31T05:16:51+04:00</dcterms:created>
  <dcterms:modified xsi:type="dcterms:W3CDTF">2026-03-31T05:16:51+04:00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