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ՀՈՒԼԻՍԻ 3-Ի N 737-Ն ՈՐՈՇՄԱՆ ՄԵՋ ՓՈՓՈԽՈՒԹՅՈՒՆՆԵՐ ԵՎ ԼՐԱՑՈՒՄՆԵՐ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2021 թվականի N  -Ն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2014 ԹՎԱԿԱՆԻ ՀՈՒԼԻՍԻ 3-Ի N 737-Ն ՈՐՈՇՄԱՆ ՄԵՋ</w:t>
      </w:r>
      <w:r>
        <w:rPr>
          <w:b w:val="1"/>
          <w:bCs w:val="1"/>
        </w:rPr>
        <w:t xml:space="preserve"> ՓՈՓՈԽՈՒԹՅՈՒՆՆԵՐ ԵՎ</w:t>
      </w:r>
    </w:p>
    <w:p>
      <w:pPr>
        <w:jc w:val="center"/>
      </w:pPr>
      <w:r>
        <w:rPr>
          <w:b w:val="1"/>
          <w:bCs w:val="1"/>
        </w:rPr>
        <w:t xml:space="preserve">ԼՐԱՑՈՒՄՆԵՐ 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/>
        <w:t xml:space="preserve">Հիմք ընդունելով «Նորմատիվ իրավական ակտերի մասին» օրենքի 33-րդ և 34-րդ հոդվածները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հուլիսի 3-ի «Պետական իշխանության մարմիններում քաղաքացիական աշխատանք կատարող և տեխնիկական սպասարկում իրականացնող անձանց պաշտոնային դրույքաչափերը սահմանելու մասին» N 737-Ն որոշման N 1 հավելվածի «ՍՈՑԻԱԼԱԿԱՆ ՈԼՈՐՏ» բաժնում`</w:t>
      </w:r>
    </w:p>
    <w:p>
      <w:pPr>
        <w:numPr>
          <w:ilvl w:val="0"/>
          <w:numId w:val="3"/>
        </w:numPr>
      </w:pPr>
      <w:r>
        <w:rPr/>
        <w:t xml:space="preserve">21-րդ կետից հանել «, բժիշկ-փորձագետ» և «(էրգոթերապևտ)» բառերը.</w:t>
      </w:r>
    </w:p>
    <w:p>
      <w:pPr>
        <w:numPr>
          <w:ilvl w:val="0"/>
          <w:numId w:val="3"/>
        </w:numPr>
      </w:pPr>
      <w:r>
        <w:rPr/>
        <w:t xml:space="preserve">21-րդ կետից հետո լրացնել հետևյալ բովանդակությամբ նոր՝ 21.1., 21.2. և 21.3 կետերով․«</w:t>
      </w:r>
    </w:p>
    <w:tbl>
      <w:tblGrid>
        <w:gridCol w:w="720" w:type="dxa"/>
        <w:gridCol w:w="7755" w:type="dxa"/>
        <w:gridCol w:w="1230" w:type="dxa"/>
      </w:tblGrid>
      <w:tblPr>
        <w:tblW w:w="0" w:type="dxa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/>
              <w:t xml:space="preserve">21.1.</w:t>
            </w:r>
          </w:p>
        </w:tc>
        <w:tc>
          <w:tcPr>
            <w:tcW w:w="7755" w:type="dxa"/>
            <w:noWrap/>
          </w:tcPr>
          <w:p>
            <w:pPr/>
            <w:r>
              <w:rPr/>
              <w:t xml:space="preserve">բժիշկ-փորձագետ՝ բժշկասոցիալական փորձաքննության ոլորտի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21.2.</w:t>
            </w:r>
          </w:p>
        </w:tc>
        <w:tc>
          <w:tcPr>
            <w:tcW w:w="7755" w:type="dxa"/>
            <w:noWrap/>
          </w:tcPr>
          <w:p>
            <w:pPr/>
            <w:r>
              <w:rPr/>
              <w:t xml:space="preserve">անձի ֆունկցիոնալությունը գնահատող մասնագետ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4.87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21.3</w:t>
            </w:r>
          </w:p>
        </w:tc>
        <w:tc>
          <w:tcPr>
            <w:tcW w:w="7755" w:type="dxa"/>
            <w:noWrap/>
          </w:tcPr>
          <w:p>
            <w:pPr/>
            <w:r>
              <w:rPr/>
              <w:t xml:space="preserve">Անձի ֆունկցիոնալության գնահատման ամփոփագիր մշակող բժիշկ-մասնագետ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2.83</w:t>
            </w:r>
          </w:p>
        </w:tc>
      </w:tr>
    </w:tbl>
    <w:p>
      <w:pPr/>
      <w:r>
        <w:rPr/>
        <w:t xml:space="preserve">»․</w:t>
      </w:r>
    </w:p>
    <w:p>
      <w:pPr>
        <w:numPr>
          <w:ilvl w:val="0"/>
          <w:numId w:val="4"/>
        </w:numPr>
      </w:pPr>
      <w:r>
        <w:rPr/>
        <w:t xml:space="preserve">2-րդ կետը շարադրել հետևյալ խմբագրությամբ․ «</w:t>
      </w:r>
    </w:p>
    <w:tbl>
      <w:tblGrid>
        <w:gridCol w:w="720" w:type="dxa"/>
        <w:gridCol w:w="7755" w:type="dxa"/>
        <w:gridCol w:w="1230" w:type="dxa"/>
      </w:tblGrid>
      <w:tblPr>
        <w:tblW w:w="0" w:type="dxa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/>
              <w:t xml:space="preserve">24.2</w:t>
            </w:r>
          </w:p>
        </w:tc>
        <w:tc>
          <w:tcPr>
            <w:tcW w:w="7755" w:type="dxa"/>
            <w:noWrap/>
          </w:tcPr>
          <w:p>
            <w:pPr/>
            <w:r>
              <w:rPr/>
              <w:t xml:space="preserve">Միջավայրային գործոնները գնահատող մասնագետ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2</w:t>
            </w:r>
          </w:p>
        </w:tc>
      </w:tr>
    </w:tbl>
    <w:p>
      <w:pPr/>
      <w:r>
        <w:rPr/>
        <w:t xml:space="preserve">               »։</w:t>
      </w:r>
    </w:p>
    <w:p>
      <w:pPr>
        <w:numPr>
          <w:ilvl w:val="0"/>
          <w:numId w:val="5"/>
        </w:numPr>
      </w:pPr>
      <w:r>
        <w:rPr/>
        <w:t xml:space="preserve">Սահմանել, որ՝</w:t>
      </w:r>
    </w:p>
    <w:p>
      <w:pPr/>
      <w:r>
        <w:rPr/>
        <w:t xml:space="preserve">        1) սույն որոշման 1-ին կետի 2-րդ ենթակետով սահմանված 21.1. կետի գործողությունը տարածվում է 2022 թվականի նոյեմբերի 1-ից մինչև 2023 թվականի նոյեմբերի  30-ը ներառյալ ծագած հարաբերությունների վրա.</w:t>
      </w:r>
    </w:p>
    <w:p>
      <w:pPr/>
      <w:r>
        <w:rPr/>
        <w:t xml:space="preserve">        2) սույն որոշման 1-ին կետի 2-րդ ենթակետի 21.1. տողով սահմանված պաշտոնային դրույքաչափի համար 2023 թվականի հունվարի 1-ից մինչև նոյեմբերի </w:t>
      </w:r>
      <w:br/>
      <w:r>
        <w:rPr/>
        <w:t xml:space="preserve"> 30-ը ներառյալ  գործում է 21.2. կետով սահմանված գործակիցը։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պաշտոնական հրապարակմանը հաջորդող օրվանից, բացառությամբ սույն որոշման 1-ին կետի 2-րդ ենթակետով լրացվող 21.2., 21.3. կետերի և սույն որոշման 1-ին կետի 3-րդ ենթակետի, որոնք ուժի մեջ են մտնում 2023 թվականի փետրվարի 1-ից։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8D3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3A8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ACB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B5EE9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4E449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2026-04-03T23:58:31+04:00</dcterms:created>
  <dcterms:modified xsi:type="dcterms:W3CDTF">2026-04-03T23:58:31+04:00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