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լրացում կատարելու մասին»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ՔՐԵԱԿԱՆ ՕՐԵՆՍԳՐՔՈՒՄ ԼՐԱՑՈՒՄ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2021 թվականի մայիսի 5-ի քրեական օրենսգրքի 393-րդ հոդվածը լրացնել նոր 6․1-ին մասով՝ հետևյալ բովանդակությամբ․</w:t>
      </w:r>
    </w:p>
    <w:p>
      <w:pPr>
        <w:jc w:val="both"/>
      </w:pPr>
      <w:r>
        <w:rPr/>
        <w:t xml:space="preserve">«6.1. Թմրամիջոցների և հոգեմետ (հոգեներգործուն) նյութի անալոգի կամ ածանցյալի չափը համապատասխանում է այն թմրամիջոցի և հոգեմետ (հոգեներգործուն) նյութի չափին, որի անալոգը կամ ածանցյալը հանդիսանում է այդ նյութը:»: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Սույն օրենքն ուժի մեջ է մտնում «Հայաստանի Հանրապետության քրեական օրենսգիրք» 2021 թվականի մայիսի 5-ի ՀՕ-199-Ն օրենքի ուժի մեջ մտնելու օրը: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2026-03-31T15:12:53+04:00</dcterms:created>
  <dcterms:modified xsi:type="dcterms:W3CDTF">2026-03-31T15:12:53+04:00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