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 ՆԱԽԱԳԻԾ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 Ր Ե Ն Ք Ը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ԼՐԱՑՈՒՄ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2021 թվականի մայիսի 5-ի քրեական օրենսգրքի (այսուհետ՝ Օրենսգիրք) 393-րդ հոդվածը լրացնել նոր 6․1-ին կետով՝ հետևյալ բովանդակությամբ․</w:t>
      </w:r>
    </w:p>
    <w:p>
      <w:pPr>
        <w:jc w:val="both"/>
      </w:pPr>
      <w:r>
        <w:rPr/>
        <w:t xml:space="preserve">«6․1․  Թմրամիջոցների և հոգեմետ (հոգեներգործուն) նյութերի զգալի, խոշոր և առանձնապես խոշոր չափերը սահմանում է Հայաստանի Հանրապետության կառավարությունը՝ հիմք ընդունելով սույն հոդվածի 4-րդ, 5-րդ և 6-րդ մասերով սահմանված չափորոշիչները:»։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 </w:t>
      </w:r>
      <w:r>
        <w:rPr>
          <w:b w:val="1"/>
          <w:bCs w:val="1"/>
        </w:rPr>
        <w:t xml:space="preserve">Հոդված 2.</w:t>
      </w:r>
      <w:r>
        <w:rPr/>
        <w:t xml:space="preserve"> Սույն օրենքն ուժի մեջ է մտնում 2022 թվականի հուլիսի 1-ից: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2026-04-03T22:34:31+04:00</dcterms:created>
  <dcterms:modified xsi:type="dcterms:W3CDTF">2026-04-03T22:34:31+04:00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