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օրենքում լրացումներ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</w:t>
      </w:r>
      <w:r>
        <w:rPr>
          <w:b w:val="1"/>
          <w:bCs w:val="1"/>
        </w:rPr>
        <w:t xml:space="preserve">ՊԵՏԱԿԱՆ ՏՈւՐՔԻ ՄԱՍԻՆ</w:t>
      </w:r>
      <w:r>
        <w:rPr/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 </w:t>
      </w:r>
    </w:p>
    <w:p>
      <w:pPr>
        <w:jc w:val="center"/>
      </w:pPr>
      <w:r>
        <w:rPr>
          <w:b w:val="1"/>
          <w:bCs w:val="1"/>
        </w:rPr>
        <w:t xml:space="preserve">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«Պետական տուրքի մասին» 1997 թվականի դեկտեմբերի 27-ի ՀՕ-186 օրենքի (այսուհետ՝ օրենք) 14-րդ հոդվածի 1-ին մասը լրացնել հետևալ բովանդակությամբ 1.3-րդ կետով.</w:t>
      </w:r>
    </w:p>
    <w:p>
      <w:pPr>
        <w:jc w:val="both"/>
      </w:pPr>
      <w:r>
        <w:rPr/>
        <w:t xml:space="preserve"> </w:t>
      </w:r>
    </w:p>
    <w:tbl>
      <w:tblGrid>
        <w:gridCol w:w="7215" w:type="dxa"/>
        <w:gridCol w:w="3345" w:type="dxa"/>
      </w:tblGrid>
      <w:tblPr>
        <w:tblW w:w="0" w:type="auto"/>
        <w:tblLayout w:type="autofit"/>
      </w:tblPr>
      <w:tr>
        <w:trPr/>
        <w:tc>
          <w:tcPr>
            <w:tcW w:w="7215" w:type="dxa"/>
            <w:noWrap/>
          </w:tcPr>
          <w:p>
            <w:pPr/>
            <w:r>
              <w:rPr/>
              <w:t xml:space="preserve">«1.3 Նույնականացման քարտ չունենալու և այն ստանալուց հրաժարվելու դեպքում Հայաստանի Հանրապետության քաղաքացու անձնագիր տրամադրելու (փոխանակելու) համար՝           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բազային տուրքի 8-</w:t>
            </w:r>
          </w:p>
          <w:p>
            <w:pPr/>
            <w:r>
              <w:rPr/>
              <w:t xml:space="preserve">   ապատիկի չափով»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Օրենքի 15-րդ հոդվածի 1-ին մասի 1-ին կետը «ժա» ենթակետից հետո լրացնել հետևյալ բովանդակությամբ «ժբ» և «ժգ» ենթակետերով.</w:t>
      </w:r>
    </w:p>
    <w:p>
      <w:pPr>
        <w:jc w:val="both"/>
      </w:pPr>
      <w:r>
        <w:rPr/>
        <w:t xml:space="preserve"> </w:t>
      </w:r>
    </w:p>
    <w:tbl>
      <w:tblGrid>
        <w:gridCol w:w="9195" w:type="dxa"/>
        <w:gridCol w:w="1725" w:type="dxa"/>
      </w:tblGrid>
      <w:tblPr>
        <w:tblW w:w="0" w:type="auto"/>
        <w:tblLayout w:type="autofit"/>
      </w:tblPr>
      <w:tr>
        <w:trPr/>
        <w:tc>
          <w:tcPr>
            <w:tcW w:w="9195" w:type="dxa"/>
            <w:noWrap/>
          </w:tcPr>
          <w:p>
            <w:pPr/>
            <w:r>
              <w:rPr/>
              <w:t xml:space="preserve">«ժբ) նույնականացման քարտ չունենալու և այն ստանալուց հրաժարվելու դեպքում օտարերկրյա պետություններում վավերական` Հայաստանի Հանրապետության քաղաքացու անձնագիր տրամադրելու  (փոխանակելու) համար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73</w:t>
            </w:r>
          </w:p>
        </w:tc>
      </w:tr>
      <w:tr>
        <w:trPr/>
        <w:tc>
          <w:tcPr>
            <w:tcW w:w="9195" w:type="dxa"/>
            <w:noWrap/>
          </w:tcPr>
          <w:p>
            <w:pPr/>
            <w:r>
              <w:rPr/>
              <w:t xml:space="preserve">«ժգ) Հայաստանի Հանրապետության քաղաքացուն նույնականացման քարտ տրամադրելու  (փոխանակելու) համար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30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2026-04-04T02:03:21+04:00</dcterms:created>
  <dcterms:modified xsi:type="dcterms:W3CDTF">2026-04-04T02:03:21+04:00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