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«ԵՐԵՎԱՆ ՔԱՂԱՔՈՒՄ ՏԵՂԱԿԱՆ ԻՆՔՆԱԿԱՌԱՎԱՐՄԱՆ ՄԱՍԻՆ» ՀԱՅԱՍՏԱՆԻ ՀԱՆՐԱՊԵՏՈՒԹՅԱՆ ՕՐԵՆՔՈՒՄ ԼՐԱՑՈՒՄ ԿԱՏԱՐԵԼՈՒ ՄԱՍԻՆ</w:t>
      </w:r>
      <w:bookmarkEnd w:id="0"/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 Ա Յ Ա Ս Տ Ա Ն Ի    Հ Ա Ն Ր Ա Պ Ե Տ ՈՒ Թ Յ Ա 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 «ԵՐԵՎԱՆ ՔԱՂԱՔՈՒՄ ՏԵՂԱԿԱՆ ԻՆՔՆԱԿԱՌԱՎԱՐՄԱՆ ՄԱՍԻՆ»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ՕՐԵՆՔՈՒՄ ԼՐԱՑՈՒՄ ԿԱՏԱՐԵԼՈՒ ՄԱՍԻՆ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«Երևան քաղաքում տեղական ինքնակառավարման մասին» 2008 թվականի դեկտեմբերի 26-ի ՀՕ-5-Ն օրենքի (այսուհետև՝ օրենք) 57-րդ հոդվածի 2-րդ մասը լրացնել հետևյալ բովանդակությամբ 3-րդ և 4-րդ կետերով.</w:t>
      </w:r>
    </w:p>
    <w:p>
      <w:pPr/>
      <w:r>
        <w:rPr/>
        <w:t xml:space="preserve">          «3) իր իրավասության սահմաններում կազմակերպում է ճանապարհային անվտանգ երթևեկությունը համայնքային ենթակայության ճանապարհների վրա.</w:t>
      </w:r>
    </w:p>
    <w:p>
      <w:pPr/>
      <w:r>
        <w:rPr/>
        <w:t xml:space="preserve">4) իրավասու մարմինների ներկայացմամբ հաստատում և թույլատրում է համայնքային ենթակայության ճանապարհների երթևեկության նշանների տեղակայումն ու հանումը: Երթևեկության այն նշանները, որոնց տեղադրումը համաձայնեցված չէ համայնքի ղեկավարի հետ, իրավական ուժ չունեն:»: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Տ Ե Ղ Ե Կ Ա Ն Ք </w:t>
      </w:r>
    </w:p>
    <w:p>
      <w:pPr>
        <w:jc w:val="center"/>
      </w:pPr>
      <w:r>
        <w:rPr>
          <w:b w:val="1"/>
          <w:bCs w:val="1"/>
        </w:rPr>
        <w:t xml:space="preserve"> «ԵՐԵՎԱՆ ՔԱՂԱՔՈՒՄ ՏԵՂԱԿԱՆ ԻՆՔՆԱԿԱՌԱՎԱՐՄԱՆ ՄԱՍԻՆ» ՀԱՅԱՍՏԱՆԻ ՀԱՆՐԱՊԵՏՈՒԹՅԱՆ ՕՐԵՆՔՈՒՄ ԼՐԱՑՈՒՄ ԿԱՏԱՐԵԼՈՒ ՄԱՍԻՆ» ՕՐԵՆՔԻ ԸՆԴՈՒՆՄԱՆ ԿԱՊԱԿՑՈՒԹՅԱՄԲ ԱՅԼ ՆՈՐՄԱՏԻՎ ԻՐԱՎԱԿԱՆ ԱԿՏԵՐԻ ԸՆԴՈՒՆՄԱՆ ԱՆՀՐԱԺԵՇՏՈՒԹՅԱՆ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«Երևան քաղաքում տեղական ինքնակառավարման մասին» Հայաստանի Հանրապետության օրենքում լրացում  կատարելու մասին» օրենքի նախագծերի ընդունման կապակցությամբ այլ նորմատիվ իրավական ակտեր ընդունել անհրաժեշտ չէ: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 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Տ Ե Ղ Ե Կ Ա Ն Ք </w:t>
      </w:r>
    </w:p>
    <w:p>
      <w:pPr>
        <w:jc w:val="center"/>
      </w:pPr>
      <w:r>
        <w:rPr>
          <w:b w:val="1"/>
          <w:bCs w:val="1"/>
        </w:rPr>
        <w:t xml:space="preserve">«ԵՐԵՎԱՆ ՔԱՂԱՔՈՒՄ ՏԵՂԱԿԱՆ ԻՆՔՆԱԿԱՌԱՎԱՐՄԱՆ ՄԱՍԻՆ» ՀԱՅԱՍՏԱՆԻ ՀԱՆՐԱՊԵՏՈՒԹՅԱՆ ՕՐԵՆՔՈՒՄ ԼՐԱՑՈՒՄ ԿԱՏԱՐԵԼՈՒ ՄԱՍԻՆ» ՕՐԵՆՔԻ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«Երևան քաղաքում տեղական ինքնակառավարման մասին» Հայաստանի Հանրապետության օրենքում լրացում  կատարելու մասին» օրենքի նախագծերի ընդունման կապակցությամբ պետական կամ տեղական ինքնակառավարման մարմնի բյուջեում ծախսերի և եկամուտների էական ավելացում կամ նվազեցում չի նախատեսվում։</w:t>
      </w:r>
    </w:p>
    <w:p>
      <w:pPr/>
      <w:r>
        <w:rPr/>
        <w:t xml:space="preserve">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2026-04-01T12:47:11+04:00</dcterms:created>
  <dcterms:modified xsi:type="dcterms:W3CDTF">2026-04-01T12:47:11+04:00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