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 ԿԱՏԱՐԵԼՈՒ ՄԱՍԻՆ» ՀՀ օրենք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2003 թվականի ապրիլի 18-ի քրեական օրենսգրքի 308-րդ հոդվածում լրացնել հետևյալ բովանդակությամբ 2.1-ին մաս.</w:t>
      </w:r>
    </w:p>
    <w:p>
      <w:pPr/>
      <w:r>
        <w:rPr/>
        <w:t xml:space="preserve"> </w:t>
      </w:r>
    </w:p>
    <w:p>
      <w:pPr/>
      <w:r>
        <w:rPr/>
        <w:t xml:space="preserve">«2.1. Սույն հոդվածի առաջին մասով նախատեսված արարքը, որը դիտավորությամբ առաջացրել է ծանր հետևանքներ՝</w:t>
      </w:r>
    </w:p>
    <w:p>
      <w:pPr/>
      <w:r>
        <w:rPr/>
        <w:t xml:space="preserve">պատժվում է ազատազրկմամբ՝ չորսից ութ տարի ժամկետով` գույքի բռնագրավումով կամ առանց դրա:»: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2026-03-31T03:55:07+04:00</dcterms:created>
  <dcterms:modified xsi:type="dcterms:W3CDTF">2026-03-31T03:55:07+04:00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