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«Կարևորագույն նշանակության օբյեկտ հանդիսացող ստորգետնյա պահեստարանների կառուցման կամ շահագործման նպատակով ոչ մետաղական օգտակար հանածոյի հանույթի թույլտվության տրամադրման կարգը,  տրամադրման, տնօրինման պայմանները և թույլտվության ձևը սահմանելու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 _________  2020 թ.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ԿԱՐԵՎՈՐԱԳՈՒՅՆ ՆՇԱՆԱԿՈՒԹՅԱՆ ՕԲՅԵԿՏ ՀԱՆԴԻՍԱՑՈՂ ՍՏՈՐԳԵՏՆՅԱ ՊԱՀԵՍՏԱՐԱՆՆԵՐԻ ԿԱՌՈՒՑՄԱՆ ԿԱՄ ՇԱՀԱԳՈՐԾՄԱՆ ՆՊԱՏԱԿՈՎ ՈՉ ՄԵՏԱՂԱԿԱՆ ՕԳՏԱԿԱՐ ՀԱՆԱԾՈՅԻ ՀԱՆՈՒՅԹԻ ԹՈՒՅԼՏՎՈՒԹՅԱՆ ՏՐԱՄԱԴՐՄԱՆ ԿԱՐԳԸ,  ՏՐԱՄԱԴՐՄԱՆ, ՏՆՕՐԻՆՄԱՆ ՊԱՅՄԱՆՆԵՐԸ ԵՎ ԹՈՒՅԼՏՎՈՒԹՅԱՆ ՁԵՎԸ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ընդերքի մասին օրենսգրքի  48.3-րդ հոդվածի 1-ին մասը`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Սահմանել`</w:t>
      </w:r>
    </w:p>
    <w:p>
      <w:pPr/>
      <w:r>
        <w:rPr/>
        <w:t xml:space="preserve">1) Կարևորագույն նշանակության օբյեկտ հանդիսացող ստորգետնյա պահեստարանների կառուցման կամ շահագործման նպատակով ոչ մետաղական օգտակար հանածոյի հանույթի թույլտվության տրամադրման կարգը,  տրամադրման, տնօրինման պայմանները ` համաձայն N 1 հավելվածի,</w:t>
      </w:r>
    </w:p>
    <w:p>
      <w:pPr/>
      <w:r>
        <w:rPr/>
        <w:t xml:space="preserve">2) կարևորագույն նշանակության օբյեկտ հանդիսացող ստորգետնյա պահեստարանների կառուցման կամ շահագործման նպատակով ոչ մետաղական օգտակար հանածոյի հանույթի թույլտվության ձևը` համաձայն N 2 հավելվածի,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Layout w:type="autofit"/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noWrap/>
          </w:tcPr>
          <w:p>
            <w:pPr/>
            <w:r>
              <w:rPr/>
              <w:t xml:space="preserve">Հավելված N 1</w:t>
            </w:r>
            <w:br/>
            <w:r>
              <w:rPr/>
              <w:t xml:space="preserve"> ՀՀ կառավարության 2020 թ.</w:t>
            </w:r>
            <w:br/>
            <w:r>
              <w:rPr/>
              <w:t xml:space="preserve"> ____ _______  N ___-Ն որոշման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Կ Ա Ր Գ</w:t>
      </w:r>
    </w:p>
    <w:p>
      <w:pPr/>
      <w:r>
        <w:rPr/>
        <w:t xml:space="preserve"> </w:t>
      </w:r>
    </w:p>
    <w:p>
      <w:pPr/>
      <w:r>
        <w:rPr/>
        <w:t xml:space="preserve">ԿԱՐԵՎՈՐԱԳՈՒՅՆ ՆՇԱՆԱԿՈՒԹՅԱՆ ՕԲՅԵԿՏ ՀԱՆԴԻՍԱՑՈՂ ՍՏՈՐԳԵՏՆՅԱ ՊԱՀԵՍՏԱՐԱՆՆԵՐԻ ԿԱՌՈՒՑՄԱՆ ԿԱՄ ՇԱՀԱԳՈՐԾՄԱՆ ՆՊԱՏԱԿՈՎ ՈՉ ՄԵՏԱՂԱԿԱՆ ՕԳՏԱԿԱՐ ՀԱՆԱԾՈՅԻ ՀԱՆՈՒՅԹԻ ԹՈՒՅԼՏՎՈՒԹՅԱՆ ՏՐԱՄԱԴՐՄԱՆ ԿԱՐԳԸ,  ՏՐԱՄԱԴՐՄԱՆ, ՏՆՕՐԻՆՄԱՆ ՊԱՅՄԱՆՆԵՐԻ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.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Սույն կարգով սահմանվում են կարևորագույն նշանակության օբյեկտ հանդիսացող ստորգետնյա պահեստարանների (այսուհետ՝ պահեստարան) կառուցման կամ շահագործման նպատակով ոչ մետաղական օգտակար հանածոյի հանույթի թույլտվության (այսուհետ՝ թույլտվություն) տրամադրման հետ կապված հարաբերությունները:</w:t>
      </w:r>
    </w:p>
    <w:p>
      <w:pPr>
        <w:numPr>
          <w:ilvl w:val="0"/>
          <w:numId w:val="5"/>
        </w:numPr>
      </w:pPr>
      <w:r>
        <w:rPr/>
        <w:t xml:space="preserve">Թույլտվությունը տալիս է ընդերքօգտագործման ոլորտի լիազոր մարմինը՝ մինչև երեք տարի ժամկետով, որը կարող է երկարաձգվել յուրաքանչյուր երեք տարին մեկ՝ մինչև կառույցի նախագծային հզորության հասնելը:</w:t>
      </w:r>
    </w:p>
    <w:p>
      <w:pPr>
        <w:numPr>
          <w:ilvl w:val="0"/>
          <w:numId w:val="5"/>
        </w:numPr>
      </w:pPr>
      <w:r>
        <w:rPr/>
        <w:t xml:space="preserve">Պահեստարանը երկրաբանական կառուցվածքների ծակոտկեն-կուտակիչ շերտերում, լեռնային փորվածքներում, ինչպես նաև քարաղային նստվածքներում առաջացած փորվածքային դատարկություննեում ստեղծված ինժեներատեխնիական կառույցների համալիրն է, բնական գազի ներմղման, պահեստավորման, պահպանման և հետագա օգտագործման համար, որն իր մեջ ներառում է տարբեր նշանակության հորատանցքերը, բնական գազի հավաքման և նախապատրաստման համակարգերը, կոմպրեսորային արտադրամասերը և որը ընդգրկված է կառավարության որոշմամբ սահմանված կարևորագույն նշանակության օբյեկտների ցանկում: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II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ԹՈՒԼՏՎՈՒԹՅՈՒՆ</w:t>
      </w:r>
      <w:r>
        <w:rPr>
          <w:b w:val="1"/>
          <w:bCs w:val="1"/>
        </w:rPr>
        <w:t xml:space="preserve"> ՍՏԱՆԱԼՈՒ ՀԱՄԱՐ ԱՆՀՐԱԺԵՇՏ ՓԱՍՏԱԹՂԹԵՐԸ ԵՎ ՊԱՐՏԱԴԻՐ ՊԱՀԱՆՋՆԵՐԸ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Թույլտվություն հայցելու համար դիմումը ներկայացվում է լիազոր մարմին:</w:t>
      </w:r>
    </w:p>
    <w:p>
      <w:pPr/>
      <w:r>
        <w:rPr/>
        <w:t xml:space="preserve">          5.Պահեստարանների կառուցման կամ շահագործման նպատակով ոչ մետաղական օգտակար հանածոյի հանույթի թույլտվություն հայցելու դիմումում նշվում և դրան կից ներկայացվում են՝</w:t>
      </w:r>
    </w:p>
    <w:p>
      <w:pPr/>
      <w:r>
        <w:rPr/>
        <w:t xml:space="preserve">1) իրավաբանական անձի անվանումը, գտնվելու վայրը, պետական գրանցման վկայականի համարը և գրանցման ամսաթիվը,</w:t>
      </w:r>
    </w:p>
    <w:p>
      <w:pPr/>
      <w:r>
        <w:rPr/>
        <w:t xml:space="preserve">2) պահեստարանի անվանումը,</w:t>
      </w:r>
    </w:p>
    <w:p>
      <w:pPr/>
      <w:r>
        <w:rPr/>
        <w:t xml:space="preserve">3) ոչ մետաղական օգտակար հանածոյի հանույթի տեսակը և ընդերքի տեղամասի հատակագիծը՝ օրենսդրությամբ սահմանված կարգով որակավորման վկայական ստացած անձի ստորագրությամբ հաստատված ծայրակետային կոորդինատներով՝ դիմումը ներկայացնելուն նախորդող 6 ամսվա դրությամբ,</w:t>
      </w:r>
    </w:p>
    <w:p>
      <w:pPr/>
      <w:r>
        <w:rPr/>
        <w:t xml:space="preserve">4) եռամյա ժամկետում հանույթի ծավալը՝ տարեկան հանույթի առավելագույն ծավալի նշմամբ,</w:t>
      </w:r>
    </w:p>
    <w:p>
      <w:pPr/>
      <w:r>
        <w:rPr/>
        <w:t xml:space="preserve">5) ոչ մետաղական օգտակար հանածոների հանույթի, սույն հավելվածով սահմանված կարգով,  տնօրինման առաջարկություններ՝ ըստ ծավալների և ժամկետների,</w:t>
      </w:r>
    </w:p>
    <w:p>
      <w:pPr/>
      <w:r>
        <w:rPr/>
        <w:t xml:space="preserve">6) «Շրջակա միջավայրի վրա ազդեցության գնահատման և փորձաքննության մասին» Հայաստանի Հանրապետության օրենքի համաձայն ստացած փորձաքննական դրական եզրակացությունը,</w:t>
      </w:r>
    </w:p>
    <w:p>
      <w:pPr/>
      <w:r>
        <w:rPr/>
        <w:t xml:space="preserve">7) պահեստարանի կառուցման նախագծի «Տեխնիկական անվտանգության մասին» Հայաստանի Հանրապետության օրենքի համաձայն ստացած փորձաքննական դրական եզրակացությունը,</w:t>
      </w:r>
    </w:p>
    <w:p>
      <w:pPr/>
      <w:r>
        <w:rPr/>
        <w:t xml:space="preserve">8)  շահագործվող պահեստարանների դեպքում սույն հավելվածի 5-րդ կետի 6-րդ ենթակետով սահմանված պահանջը կիրառվում է կառուցման նախագծերի փոփոխության դեպքում:  </w:t>
      </w:r>
    </w:p>
    <w:p>
      <w:pPr>
        <w:numPr>
          <w:ilvl w:val="0"/>
          <w:numId w:val="8"/>
        </w:numPr>
      </w:pPr>
      <w:r>
        <w:rPr/>
        <w:t xml:space="preserve">Թույլտվության ժամկետի երկարաձգման համար ներկայացված դիմումի նկատմամբ կիրառվում են սույն հավելվածի 8-13-րդ կետերի պահանջները: Երկարաձգման դիմումը պետք է ներկայացվի թույլտվության ժամկետի ավարտից առնվազն 6 ամիս առաջ։</w:t>
      </w:r>
    </w:p>
    <w:p>
      <w:pPr/>
      <w:r>
        <w:rPr/>
        <w:t xml:space="preserve">7.Թույլտվության ժամկետի երկարաձգման դիմումի մերժման հիմք է նախորդ 5 տարվա դրությամբ բոլոր չշահագործվող հորերի երկրաֆիզիկական փորձաքննության արդյունքները և միջոցառումների ծրագիրը չներկայացնելը։</w:t>
      </w:r>
    </w:p>
    <w:p>
      <w:pPr>
        <w:numPr>
          <w:ilvl w:val="0"/>
          <w:numId w:val="9"/>
        </w:numPr>
      </w:pPr>
      <w:r>
        <w:rPr/>
        <w:t xml:space="preserve">Եթե դիմումին կից ներկայացված փաստաթղթերը համապատասխանում են օրենսդրության պահանջներին, ապա լիազոր մարմինը տալիս է թույլտվություն դիմումի գրանցման օրվանից հետո 15-օրյա ժամկետում: Իսկ դիմումատուի ներկայացրած փաստաթղթերը սույն հավելվածի 5-րդ կետի պահանջներին չհամապատասխանելու դեպքում լիազոր մարմինը թույլտվությունը տալիս է սահմանված ժամկետում դիմումատուի կողմից թերությունները վերացնելուց հետո 10-օրյա ժամկետում:</w:t>
      </w:r>
    </w:p>
    <w:p>
      <w:pPr>
        <w:numPr>
          <w:ilvl w:val="0"/>
          <w:numId w:val="9"/>
        </w:numPr>
      </w:pPr>
      <w:r>
        <w:rPr/>
        <w:t xml:space="preserve">Եթե դիմումատուի ներկայացրած փաստաթղթերը չեն համապատասխանում սույն հավելվածի 5-րդ կետի պահանջներին, ապա լիազոր մարմինը 10-օրյա ժամկետում տեղեկացնում է դիմումատուին այդ մասին: Դիմումատուն ծանուցումն ստանալուց հետո` 10-օրյա ժամկետում, վերացնում է նշված թերությունները և լրամշակված փաթեթը ներկայացնում է լիազոր մարմին:</w:t>
      </w:r>
    </w:p>
    <w:p>
      <w:pPr>
        <w:numPr>
          <w:ilvl w:val="0"/>
          <w:numId w:val="9"/>
        </w:numPr>
      </w:pPr>
      <w:r>
        <w:rPr/>
        <w:t xml:space="preserve">Պահեստարանների կառուցման կամ շահագործման նպատակով ոչ մետաղական օգտակար հանածոյի հանույթի թույլտվության դիմումը մերժվում է, եթե՝</w:t>
      </w:r>
    </w:p>
    <w:p>
      <w:pPr/>
      <w:r>
        <w:rPr/>
        <w:t xml:space="preserve">1) ոչ մետաղական օգտակար հանածոն հաշվառված է օգտակար հանածոների պաշարների պետական հաշվեկշռում,</w:t>
      </w:r>
    </w:p>
    <w:p>
      <w:pPr/>
      <w:r>
        <w:rPr/>
        <w:t xml:space="preserve">2) դիմումին կից ներկայացված փաստաթղթերը կամ դրանցում բերված տեղեկությունները կեղծ են,</w:t>
      </w:r>
    </w:p>
    <w:p>
      <w:pPr/>
      <w:r>
        <w:rPr/>
        <w:t xml:space="preserve">3) թույլտվության տրամադրումը հակասում է Հայաստանի Հանրապետության օրենսդրության, այդ թվում` Հայաստանի Հանրապետության ազգային անվտանգության ապահովման, ինչպես նաև Հայաստանի Հանրապետության մասնակցությամբ միջազգային պայմանագրերի պահանջներին,</w:t>
      </w:r>
    </w:p>
    <w:p>
      <w:pPr/>
      <w:r>
        <w:rPr/>
        <w:t xml:space="preserve">4) ընդերքի այն տեղամասը, որի համար դիմումատուն դիմել է, հանդիսանում է ռադիոակտիվ հումքի երևակման տեղամաս,</w:t>
      </w:r>
    </w:p>
    <w:p>
      <w:pPr/>
      <w:r>
        <w:rPr/>
        <w:t xml:space="preserve">5) դիմումում նշված հանույթի ծավալները չեն համապատասխանում օբյեկտի կառուցման կամ շահագործման նախագծով սահմանված ծավալներին,</w:t>
      </w:r>
    </w:p>
    <w:p>
      <w:pPr/>
      <w:r>
        <w:rPr/>
        <w:t xml:space="preserve">6) օրենսդրությամբ սահմանված կարգով նախատեսված համապատասխան փորձաքննությունների բացասական եզրակացության դեպքում,</w:t>
      </w:r>
    </w:p>
    <w:p>
      <w:pPr/>
      <w:r>
        <w:rPr/>
        <w:t xml:space="preserve">7) սահմանված ժամկետում չեն վերացվել սույն հավելվածի 5-րդ կետով նշված պահանջների կատարման թերությունները և չի ներկայացվել լրամշակված փաթեթը:</w:t>
      </w:r>
    </w:p>
    <w:p>
      <w:pPr>
        <w:numPr>
          <w:ilvl w:val="0"/>
          <w:numId w:val="10"/>
        </w:numPr>
      </w:pPr>
      <w:r>
        <w:rPr/>
        <w:t xml:space="preserve">Լիազոր մարմինը թույլտվության տրման մասին որոշման ընդունումից հետո` մեկ աշխատանքային օրվա ընթացքում, պատշաճ ձևով այդ մասին տեղեկացնում է դիմումատուին: Տեղեկացմամբ դիմումատուն պետք է նախազգուշացվի սույն հավելվածի 13-րդ կետով նախատեսված հետևանքների մասին:</w:t>
      </w:r>
    </w:p>
    <w:p>
      <w:pPr>
        <w:numPr>
          <w:ilvl w:val="0"/>
          <w:numId w:val="10"/>
        </w:numPr>
      </w:pPr>
      <w:r>
        <w:rPr/>
        <w:t xml:space="preserve">Դիմումատուն սույն հավելվածի 11-րդ կետով սահմանված ծառայության մատուցման համար օրենքով սահմանված պետական տուրքը պարտավոր է վճարել և պետական տուրքի վճարումը հավաստող փաստաթուղթը լիազոր մարմին ներկայացնել ոչ ուշ, քան թույլտվության տրման դիմումը բավարարելու մասին պատշաճ ձևով տեղեկացումից հետո ՝ 5 աշխատանքային օրվա ընթացքում:</w:t>
      </w:r>
    </w:p>
    <w:p>
      <w:pPr>
        <w:numPr>
          <w:ilvl w:val="0"/>
          <w:numId w:val="10"/>
        </w:numPr>
      </w:pPr>
      <w:r>
        <w:rPr/>
        <w:t xml:space="preserve">Թույլտվությունն ուժի մեջ է մտնում դիմումատուի կողմից պետական տուրքը թույլտվության տրամադրման որոշման մասին պատշաճ ձևով տեղեկացումից հետո 5 աշխատանքային օրվա ընթացքում վճարման դեպքում՝ դիմումատուի կողմից պետական տուրքը վճարվելու օրվանից: Սույն հավելվածի 12-րդ կետով նախատեսված ժամկետում դիմումատուի կողմից պետական տուրքը չվճարվելու դեպքում լիազոր մարմնի կայացրած համապատասխան որոշումը ուժը կորցրած է ճանաչվում: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III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 ՊԱՅՄԱՆՆԵՐԸ</w:t>
      </w:r>
    </w:p>
    <w:p>
      <w:pPr/>
      <w:r>
        <w:rPr>
          <w:b w:val="1"/>
          <w:bCs w:val="1"/>
        </w:rPr>
        <w:t xml:space="preserve">ԿԱՐԵՎՈՐԱԳՈՒՅՆ ՆՇԱՆԱԿՈՒԹՅԱՆ ՕԲՅԵԿՏ ՀԱՆԴԻՍԱՑՈՂ ՍՏՈՐԳԵՏՆՅԱ ՊԱՀԵՍՏԱՐԱՆՆԵՐԻ ԿԱՌՈՒՑՄԱՆ ԿԱՄ ՇԱՀԱԳՈՐԾՄԱՆ ՆՊԱՏԱԿՈՎ ՈՉ ՄԵՏԱՂԱԿԱՆ ՕԳՏԱԿԱՐ ՀԱՆԱԾՈՅԻ ՀԱՆՈՒՅԹԻ ԹՈՒՅԼՏՎՈՒԹՅԱՆ ՏՐԱՄԱԴՐՄԱՆ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1"/>
        </w:numPr>
      </w:pPr>
      <w:r>
        <w:rPr/>
        <w:t xml:space="preserve">Պահեստարանների կառուցման կամ շահագործման նպատակով ոչ մետաղական օգտակար հանածոյի հանույթի համար տրամադրված ընդերքի տեղամասը պետք է լինի երկրաբանական կառուցվածքների ծակոտկոն-կուտակիչ շերտերում, լեռնային փորվածքներում, ինչպես նաև քարաղային նստվածքներում:</w:t>
      </w:r>
    </w:p>
    <w:p>
      <w:pPr>
        <w:numPr>
          <w:ilvl w:val="0"/>
          <w:numId w:val="11"/>
        </w:numPr>
      </w:pPr>
      <w:r>
        <w:rPr/>
        <w:t xml:space="preserve">Հանույթի ընդերքի տեղամասը պետք է բավարարի հետևյալ պահանջներին՝</w:t>
      </w:r>
    </w:p>
    <w:p>
      <w:pPr>
        <w:numPr>
          <w:ilvl w:val="0"/>
          <w:numId w:val="12"/>
        </w:numPr>
      </w:pPr>
      <w:r>
        <w:rPr/>
        <w:t xml:space="preserve">պետք է ունենա ըստ տեղադրման խորության պահպանված տարածք և հզորություն,</w:t>
      </w:r>
    </w:p>
    <w:p>
      <w:pPr>
        <w:numPr>
          <w:ilvl w:val="0"/>
          <w:numId w:val="12"/>
        </w:numPr>
      </w:pPr>
      <w:r>
        <w:rPr/>
        <w:t xml:space="preserve">հանույթային շերտի հատակի տեղադրման առավելագույն խորությունը, որպես կանոն, չպետք է գերազանցի 1500-1700 մետրը, ավելի խորը հորիզոններից հանույթի իրականցումը որոշվում է պահեստարանի կառուցման տեխնիկական-տնտեսական հաշվարկների հիման վրա,</w:t>
      </w:r>
    </w:p>
    <w:p>
      <w:pPr>
        <w:numPr>
          <w:ilvl w:val="0"/>
          <w:numId w:val="12"/>
        </w:numPr>
      </w:pPr>
      <w:r>
        <w:rPr/>
        <w:t xml:space="preserve">հանույթային շերտի հզորության նվազագույն չափը և առաստաղի տեղադրման նվազագույն խորությունը որոշվում է պահեստարանի կառուցման տեխնիկական-տնտեսական հաշվարկների, բնապահպանական և տեխնիկական անվտանգության պայմաններից ելնելով,</w:t>
      </w:r>
    </w:p>
    <w:p>
      <w:pPr>
        <w:numPr>
          <w:ilvl w:val="0"/>
          <w:numId w:val="12"/>
        </w:numPr>
      </w:pPr>
      <w:r>
        <w:rPr/>
        <w:t xml:space="preserve">պետք է հանույթն այնպես իրականացնել, որ պահեստարանները լինեն կայուն ու հերմետիկ,</w:t>
      </w:r>
    </w:p>
    <w:p>
      <w:pPr/>
      <w:r>
        <w:rPr/>
        <w:t xml:space="preserve">3․ Թույլտվություն ունեցող անձը պետք է ապահովի տեսչական մարմինների անարգել մուտքը հանույթ իրականացնելու տարածք:</w:t>
      </w:r>
    </w:p>
    <w:p>
      <w:pPr/>
      <w:r>
        <w:rPr/>
        <w:t xml:space="preserve">4․ Թույլտվություն ունեցող անձը 3 տարվա ընթացքում ներկայացնում է երկրաֆիզիկական փորձաքննություն անցած չշահագործվող հորերի, դրանցում արձանագրված թերություններիև համապատասխան թերությունների վերացման միջոցառումների ծրագրի վերաբերյալ։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</w:t>
      </w:r>
      <w:r>
        <w:rPr>
          <w:b w:val="1"/>
          <w:bCs w:val="1"/>
        </w:rPr>
        <w:t xml:space="preserve"> ՊԱՅՄԱՆՆԵՐԸ</w:t>
      </w:r>
    </w:p>
    <w:p>
      <w:pPr/>
      <w:r>
        <w:rPr>
          <w:b w:val="1"/>
          <w:bCs w:val="1"/>
        </w:rPr>
        <w:t xml:space="preserve">ԿԱՐԵՎՈՐԱԳՈՒՅՆ ՆՇԱՆԱԿՈՒԹՅԱՆ ՕԲՅԵԿՏ ՀԱՆԴԻՍԱՑՈՂ ՍՏՈՐԳԵՏՆՅԱ ՊԱՀԵՍՏԱՐԱՆՆԵՐԻ ԿԱՌՈՒՑՄԱՆ ԿԱՄ ՇԱՀԱԳՈՐԾՄԱՆ ՆՊԱՏԱԿՈՎ ՈՉ ՄԵՏԱՂԱԿԱՆ ՕԳՏԱԿԱՐ ՀԱՆԱԾՈՅԻ ՀԱՆՈՒՅԹԻ ՏՆՕՐԻՆՄԱՆ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4"/>
        </w:numPr>
      </w:pPr>
      <w:r>
        <w:rPr/>
        <w:t xml:space="preserve">Պահեստարանների կառուցման կամ շահագործման նպատակով ոչ մետաղական օգտակար հանածոյի հանույթի թույլտվություն ստացած անձն իրավունք ունի տնօրինելու կարեւորագույն նշանակության օբյեկտ հանդիսացող ստորգետնյա պահեստարանների կառուցման, ստեղծման կամ շահագործման ընթացքում առաջացածհանույթը:</w:t>
      </w:r>
    </w:p>
    <w:p>
      <w:pPr>
        <w:numPr>
          <w:ilvl w:val="0"/>
          <w:numId w:val="14"/>
        </w:numPr>
      </w:pPr>
      <w:r>
        <w:rPr/>
        <w:t xml:space="preserve">Պահեստարանների կառուցման կամ շահագործման նպատակով ոչ մետաղական օգտակար հանածոյի հանույթ իրականացնող անձը դիմումին կից ներկայացնում է հանույթի տարեկան ծավալների տնօրինման առաջարկություններ՝ նշելով հանույթի ծավալը՝ ըստ տնօրինման յուրաքանչյուր եղանակի և ըստ շահառու երրորդ կողմի (առկայության դեպքում): Երրորդ կողմ է հանդիսանում հանույթի ծավալը թույլտվություն ունեցող անձից անհատույց կամ հատուցելի եղանակով ձեռք բերողը: Հանույթ իրականացնողը իր կողմից օգտակար հանածոյի հանույթի տնօրինման դեպքում ներկայացնում է օգտագործման ուղղությունների մանրամասն նկարագրությունը: Սույն կետով ներկայացվող տնօրինման եղանակները և ուղղությունները շահագործման ընթացքում փոփոխելու անհրաժեշտության դեպքում թույլտվություն ստացած անձը պարտավոր է լիազոր մարմնին նախապես ծանուցել  համապատասխան փոփոխության մասին:</w:t>
      </w:r>
    </w:p>
    <w:p>
      <w:pPr>
        <w:numPr>
          <w:ilvl w:val="0"/>
          <w:numId w:val="14"/>
        </w:numPr>
      </w:pPr>
      <w:r>
        <w:rPr/>
        <w:t xml:space="preserve">Պահեստարանների կառուցման կամ շահագործման նպատակով ոչ մետաղական օգտակար հանածոյի հանույթի թույլտվություն ստացած անձը պարտավոր է՝</w:t>
      </w:r>
    </w:p>
    <w:p>
      <w:pPr/>
      <w:r>
        <w:rPr/>
        <w:t xml:space="preserve">1) պահպանել  հանույթի  թույլտվության եւ շինարարության նախագծով հաստատված պայմանները եւ  շրջակա միջավայրի վրա ազդեցության եզրակացությամբ ամրագրված փորձագիտական պահանջները.</w:t>
      </w:r>
    </w:p>
    <w:p>
      <w:pPr/>
      <w:r>
        <w:rPr/>
        <w:t xml:space="preserve">2) պահպանել հանույթի տնօրինման սահմանված պայմանները եւ ծավալները.</w:t>
      </w:r>
    </w:p>
    <w:p>
      <w:pPr/>
      <w:r>
        <w:rPr/>
        <w:t xml:space="preserve">3) յուրաքանչյուր տարվա ավարտից հետո՝ 30-օրյա ժամկետում, լիազոր մարմին ներկայացնել տեղեկատվություն հանույթի ծավալների եւ ծավալների տնօրինման վերաբերյալ:</w:t>
      </w:r>
    </w:p>
    <w:p>
      <w:pPr/>
      <w:r>
        <w:rPr/>
        <w:t xml:space="preserve">4․ Կարևորագույն նշանակության օբյեկտ հանդիսացող ստորգետնյա պահեստարանների կառուցման կամ շահագործման նպատակով արդյունահանված ոչ մետաղական օգտակար հանածոյի համար հանույթ իրականացնող անձը վճարում է բնօգտագործման վճար Հայաստանի Հանրապետության հարկային օրենսգրքի 206-րդ հոդվածի սահմանված դրույքաչափով:</w:t>
      </w:r>
    </w:p>
    <w:p>
      <w:pPr/>
      <w:r>
        <w:rPr/>
        <w:t xml:space="preserve"> </w:t>
      </w:r>
    </w:p>
    <w:p>
      <w:pPr/>
      <w:r>
        <w:rPr/>
        <w:t xml:space="preserve">5․ Սույն կարգի դրույթների խախտման դեպքում կիրառվում են Հայաստանի Հանրապետության ընդերքի մասին օրենսգրքի 30-րդ հոդվածով սահմանված կարգավորումները։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/>
        <w:t xml:space="preserve">Հավելված N 2</w:t>
      </w:r>
      <w:br/>
      <w:r>
        <w:rPr/>
        <w:t xml:space="preserve"> ՀՀ կառավարության 2020 թ.</w:t>
      </w:r>
      <w:br/>
      <w:r>
        <w:rPr/>
        <w:t xml:space="preserve"> ____ _______  N ___-Ն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ՁԵՎԸ </w:t>
      </w:r>
    </w:p>
    <w:p>
      <w:pPr/>
      <w:r>
        <w:rPr>
          <w:b w:val="1"/>
          <w:bCs w:val="1"/>
        </w:rPr>
        <w:t xml:space="preserve">ԿԱՐԵՎՈՐԱԳՈՒՅՆ ՆՇԱՆԱԿՈՒԹՅԱՆ ՕԲՅԵԿՏ ՀԱՆԴԻՍԱՑՈՂ ՍՏՈՐԳԵՏՆՅԱ ՊԱՀԵՍՏԱՐԱՆՆԵՐԻ ԿԱՌՈՒՑՄԱՆ ԿԱՄ ՇԱՀԱԳՈՐԾՄԱՆ ՆՊԱՏԱԿՈՎ ՈՉ ՄԵՏԱՂԱԿԱՆ ՕԳՏԱԿԱՐ ՀԱՆԱԾՈՅԻ ՀԱՆՈՒՅԹԻ ԹՈՒՅԼՏՎՈՒԹՅԱՆ </w:t>
      </w:r>
    </w:p>
    <w:p>
      <w:pPr/>
      <w:r>
        <w:rPr>
          <w:b w:val="1"/>
          <w:bCs w:val="1"/>
        </w:rPr>
        <w:t xml:space="preserve"> </w:t>
      </w:r>
    </w:p>
    <w:tbl>
      <w:tblGrid>
        <w:gridCol w:w="9915" w:type="dxa"/>
        <w:gridCol w:w="5300" w:type="dxa"/>
      </w:tblGrid>
      <w:tblPr>
        <w:tblW w:w="5300" w:type="pct"/>
        <w:tblLayout w:type="autofit"/>
      </w:tblPr>
      <w:tr>
        <w:trPr/>
        <w:tc>
          <w:tcPr>
            <w:tcW w:w="9915" w:type="dxa"/>
            <w:noWrap/>
          </w:tcPr>
          <w:tbl>
            <w:tblGrid>
              <w:gridCol w:w="9750" w:type="dxa"/>
            </w:tblGrid>
            <w:tblPr>
              <w:tblW w:w="9750" w:type="dxa"/>
              <w:tblLayout w:type="autofit"/>
            </w:tblPr>
            <w:tr>
              <w:trPr/>
              <w:tc>
                <w:tcPr>
                  <w:tcW w:w="9750" w:type="dxa"/>
                  <w:noWrap/>
                </w:tcPr>
                <w:tbl>
                  <w:tblGrid>
                    <w:gridCol w:w="9330" w:type="dxa"/>
                    <w:gridCol w:w="6735" w:type="dxa"/>
                  </w:tblGrid>
                  <w:tblPr>
                    <w:tblW w:w="9330" w:type="dxa"/>
                    <w:tblLayout w:type="autofit"/>
                  </w:tblPr>
                  <w:tr>
                    <w:trPr/>
                    <w:tc>
                      <w:tcPr>
                        <w:tcW w:w="9330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6735" w:type="dxa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ՀԱՅԱՍՏԱՆԻ ՀԱՆՐԱՊԵՏՈՒԹՅՈՒՆ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ՏԱՐԱԾՔԱՅԻՆ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ԿԱՌԱՎԱՐՄԱՆ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 ԵՎ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ԵՆԹԱԿԱՌՈՒՑՎԱԾՔՆԵՐԻ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 ՆԱԽԱՐԱՐՈՒԹՅՈՒՆ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Կ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ԱՐ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ԵՎ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ՈՐԱԳՈՒՅՆ ՆՇԱՆԱԿՈՒԹՅԱՆ ՕԲՅԵԿՏ ՀԱՆԴԻՍԱՑՈՂ ՍՏՈՐԳԵՏՆՅԱ ՊԱՀԵՍՏԱՐԱՆՆԵՐԻ ԿԱՌՈՒՑՄԱՆ ԿԱՄ ՇԱՀԱԳՈՐԾՄԱՆ ՆՊԱՏԱԿՈՎ ՈՉ ՄԵՏԱՂԱԿԱՆ ՕԳՏԱԿԱՐ ՀԱՆԱԾՈՅԻ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ՀԱՆՈՒՅԹԻ</w:t>
                        </w:r>
                        <w:r>
                          <w:rPr/>
                          <w:t xml:space="preserve"> 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ԹՈՒՅԼՏՎՈՒԹՅՈՒՆ N</w:t>
                        </w:r>
                      </w:p>
                    </w:tc>
                  </w:tr>
                  <w:tr>
                    <w:trPr/>
                    <w:tc>
                      <w:tcPr>
                        <w:tcW w:w="9300" w:type="dxa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Տալու տարեթիվը, ամիսը, ամսաթիվը    __________________________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Թույլտվության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 ժամկետը (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տարեթիվը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,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ամիսը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,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ամսաթիվը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) ________________________________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Հանույթ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իրականացնող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  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անձի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 անվանումը, գտնվելու վայրը,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պետական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գրանցման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վկայականի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 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համարը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և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գրանցման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ամսաթիվ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 _________________________________________________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 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___________________________________________________________________________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Օբյեկտի</w:t>
                        </w:r>
                        <w:r>
                          <w:rPr/>
                          <w:t xml:space="preserve"> 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անվանումը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 ________________________________________________________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Օբյեկտի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 տեղակայման մարզ և համայնք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 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Հանույթի ընդերքի տեղամասի ծայրակետերի կոորդինատները _________________________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 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______________________________________________________________________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Հանույթի տեսակը/անվանումը  __________________________________________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 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Հանույթի ծավալը թույլտվության գործողության ժամկետում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 ________________________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Հանույթի ծավալը մեկ տարվա կտրվածքով ______________________________________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  <w:p>
                        <w:pPr/>
                        <w:r>
                          <w:rPr/>
                          <w:t xml:space="preserve">  </w:t>
                        </w:r>
                      </w:p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9300" w:type="dxa"/>
                        <w:gridSpan w:val="2"/>
                        <w:noWrap/>
                      </w:tcPr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ՀՀ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 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ՏԱՐԱԾՔԱՅԻՆ ԿԱՌԱՎԱՐՄԱՆ ԵՎ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 ԵՆԹԱԿԱՌՈՒՑՎԱԾՔՆԵՐԻ ՆԱԽԱՐԱՐ</w:t>
                        </w:r>
                        <w:r>
                          <w:rPr>
                            <w:b w:val="1"/>
                            <w:bCs w:val="1"/>
                          </w:rPr>
                          <w:t xml:space="preserve"> </w:t>
                        </w:r>
                      </w:p>
                      <w:p>
                        <w:pPr/>
                        <w:r>
                          <w:rPr>
                            <w:b w:val="1"/>
                            <w:bCs w:val="1"/>
                          </w:rPr>
                          <w:t xml:space="preserve">Կ.Տ.</w:t>
                        </w:r>
                      </w:p>
                    </w:tc>
                  </w:tr>
                </w:tbl>
                <w:p/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30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BD1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52970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D49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E79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867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8AE65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CFFB5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51116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CE4A4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243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6A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08F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F43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2026-04-01T14:24:32+04:00</dcterms:created>
  <dcterms:modified xsi:type="dcterms:W3CDTF">2026-04-01T14:24:32+04:00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